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923"/>
        </w:tabs>
        <w:ind w:right="-7"/>
        <w:rPr>
          <w:rFonts w:hint="default" w:cs="Arial" w:eastAsiaTheme="minorEastAsia"/>
          <w:bCs/>
          <w:i/>
          <w:sz w:val="32"/>
          <w:highlight w:val="none"/>
          <w:lang w:val="en-US" w:eastAsia="zh-CN"/>
        </w:rPr>
      </w:pPr>
      <w:bookmarkStart w:id="0" w:name="_Hlk19781073"/>
      <w:r>
        <w:rPr>
          <w:rFonts w:cs="Arial"/>
          <w:bCs/>
          <w:sz w:val="24"/>
          <w:highlight w:val="none"/>
        </w:rPr>
        <w:t>3GPP T</w:t>
      </w:r>
      <w:bookmarkStart w:id="1" w:name="_Ref452454252"/>
      <w:bookmarkEnd w:id="1"/>
      <w:r>
        <w:rPr>
          <w:rFonts w:cs="Arial"/>
          <w:bCs/>
          <w:sz w:val="24"/>
          <w:highlight w:val="none"/>
        </w:rPr>
        <w:t>SG-</w:t>
      </w:r>
      <w:r>
        <w:rPr>
          <w:rFonts w:cs="Arial"/>
          <w:bCs/>
          <w:sz w:val="24"/>
          <w:szCs w:val="24"/>
          <w:highlight w:val="none"/>
        </w:rPr>
        <w:t xml:space="preserve">RAN </w:t>
      </w:r>
      <w:r>
        <w:rPr>
          <w:rFonts w:cs="Arial"/>
          <w:sz w:val="24"/>
          <w:szCs w:val="24"/>
          <w:highlight w:val="none"/>
        </w:rPr>
        <w:t>WG3 Meeting #125</w:t>
      </w:r>
      <w:r>
        <w:rPr>
          <w:rFonts w:cs="Arial"/>
          <w:bCs/>
          <w:sz w:val="24"/>
          <w:highlight w:val="none"/>
        </w:rPr>
        <w:tab/>
      </w:r>
      <w:r>
        <w:rPr>
          <w:rFonts w:cs="Arial"/>
          <w:bCs/>
          <w:sz w:val="24"/>
          <w:highlight w:val="none"/>
        </w:rPr>
        <w:t>R3-</w:t>
      </w:r>
      <w:r>
        <w:rPr>
          <w:rFonts w:hint="eastAsia" w:cs="Arial"/>
          <w:bCs/>
          <w:sz w:val="24"/>
          <w:highlight w:val="none"/>
        </w:rPr>
        <w:t>244647</w:t>
      </w:r>
    </w:p>
    <w:p>
      <w:pPr>
        <w:pStyle w:val="85"/>
        <w:rPr>
          <w:b/>
          <w:sz w:val="24"/>
          <w:highlight w:val="none"/>
        </w:rPr>
      </w:pPr>
      <w:bookmarkStart w:id="2" w:name="_Hlk19781143"/>
      <w:r>
        <w:rPr>
          <w:b/>
          <w:sz w:val="24"/>
          <w:highlight w:val="none"/>
        </w:rPr>
        <w:t>Maastricht, NL, 19 - 23 Aug, 2024</w:t>
      </w:r>
    </w:p>
    <w:bookmarkEnd w:id="0"/>
    <w:bookmarkEnd w:id="2"/>
    <w:p>
      <w:pPr>
        <w:pStyle w:val="35"/>
        <w:rPr>
          <w:rFonts w:cs="Arial"/>
          <w:bCs/>
          <w:sz w:val="24"/>
          <w:highlight w:val="none"/>
          <w:lang w:eastAsia="ja-JP"/>
        </w:rPr>
      </w:pPr>
      <w:bookmarkStart w:id="27" w:name="_GoBack"/>
      <w:bookmarkEnd w:id="27"/>
    </w:p>
    <w:p>
      <w:pPr>
        <w:pStyle w:val="35"/>
        <w:rPr>
          <w:rFonts w:cs="Arial"/>
          <w:bCs/>
          <w:sz w:val="24"/>
          <w:highlight w:val="none"/>
          <w:lang w:eastAsia="ja-JP"/>
        </w:rPr>
      </w:pPr>
    </w:p>
    <w:p>
      <w:pPr>
        <w:pStyle w:val="89"/>
        <w:ind w:left="1985" w:hanging="1985"/>
        <w:rPr>
          <w:rFonts w:hint="default"/>
          <w:highlight w:val="none"/>
          <w:lang w:val="en-US" w:eastAsia="ja-JP"/>
        </w:rPr>
      </w:pPr>
      <w:r>
        <w:rPr>
          <w:highlight w:val="none"/>
        </w:rPr>
        <w:t>Title:</w:t>
      </w:r>
      <w:r>
        <w:rPr>
          <w:highlight w:val="none"/>
        </w:rPr>
        <w:tab/>
      </w:r>
      <w:r>
        <w:rPr>
          <w:rFonts w:hint="default"/>
          <w:highlight w:val="none"/>
          <w:lang w:val="en-US"/>
        </w:rPr>
        <w:t>Response to R3-244220</w:t>
      </w:r>
      <w:r>
        <w:rPr>
          <w:highlight w:val="none"/>
        </w:rPr>
        <w:t xml:space="preserve"> on UE awareness of MBS </w:t>
      </w:r>
      <w:r>
        <w:rPr>
          <w:rFonts w:hint="default"/>
          <w:highlight w:val="none"/>
          <w:lang w:val="en-US"/>
        </w:rPr>
        <w:t>QoE</w:t>
      </w:r>
    </w:p>
    <w:p>
      <w:pPr>
        <w:pStyle w:val="89"/>
        <w:rPr>
          <w:highlight w:val="none"/>
          <w:lang w:eastAsia="ja-JP"/>
        </w:rPr>
      </w:pPr>
      <w:r>
        <w:rPr>
          <w:highlight w:val="none"/>
        </w:rPr>
        <w:t>Agenda Item:</w:t>
      </w:r>
      <w:r>
        <w:rPr>
          <w:highlight w:val="none"/>
        </w:rPr>
        <w:tab/>
      </w:r>
      <w:r>
        <w:rPr>
          <w:highlight w:val="none"/>
          <w:lang w:eastAsia="zh-CN"/>
        </w:rPr>
        <w:t>8.3</w:t>
      </w:r>
    </w:p>
    <w:p>
      <w:pPr>
        <w:pStyle w:val="89"/>
        <w:rPr>
          <w:rFonts w:hint="default" w:eastAsiaTheme="minorEastAsia"/>
          <w:highlight w:val="none"/>
          <w:lang w:val="en-US" w:eastAsia="zh-CN"/>
        </w:rPr>
      </w:pPr>
      <w:r>
        <w:rPr>
          <w:highlight w:val="none"/>
        </w:rPr>
        <w:t>Source:</w:t>
      </w:r>
      <w:r>
        <w:rPr>
          <w:highlight w:val="none"/>
        </w:rPr>
        <w:tab/>
      </w:r>
      <w:r>
        <w:rPr>
          <w:rFonts w:hint="eastAsia"/>
          <w:highlight w:val="none"/>
          <w:lang w:val="en-US" w:eastAsia="zh-CN"/>
        </w:rPr>
        <w:t>ZTE Corporation</w:t>
      </w:r>
    </w:p>
    <w:p>
      <w:pPr>
        <w:pStyle w:val="89"/>
        <w:rPr>
          <w:highlight w:val="none"/>
          <w:lang w:eastAsia="ja-JP"/>
        </w:rPr>
      </w:pPr>
      <w:r>
        <w:rPr>
          <w:highlight w:val="none"/>
        </w:rPr>
        <w:t>Document for:</w:t>
      </w:r>
      <w:r>
        <w:rPr>
          <w:highlight w:val="none"/>
        </w:rPr>
        <w:tab/>
      </w:r>
      <w:r>
        <w:rPr>
          <w:rFonts w:hint="eastAsia"/>
          <w:highlight w:val="none"/>
          <w:lang w:eastAsia="zh-CN"/>
        </w:rPr>
        <w:t>Discussion</w:t>
      </w:r>
      <w:r>
        <w:rPr>
          <w:highlight w:val="none"/>
        </w:rPr>
        <w:t xml:space="preserve"> </w:t>
      </w:r>
      <w:r>
        <w:rPr>
          <w:rFonts w:hint="eastAsia"/>
          <w:highlight w:val="none"/>
          <w:lang w:eastAsia="zh-CN"/>
        </w:rPr>
        <w:t>and</w:t>
      </w:r>
      <w:r>
        <w:rPr>
          <w:highlight w:val="none"/>
        </w:rPr>
        <w:t xml:space="preserve"> </w:t>
      </w:r>
      <w:r>
        <w:rPr>
          <w:rFonts w:hint="eastAsia"/>
          <w:highlight w:val="none"/>
          <w:lang w:eastAsia="zh-CN"/>
        </w:rPr>
        <w:t>decision</w:t>
      </w:r>
    </w:p>
    <w:p>
      <w:pPr>
        <w:pStyle w:val="2"/>
        <w:rPr>
          <w:rFonts w:cs="Arial"/>
        </w:rPr>
      </w:pPr>
      <w:r>
        <w:rPr>
          <w:rFonts w:cs="Arial"/>
        </w:rPr>
        <w:t>1</w:t>
      </w:r>
      <w:r>
        <w:rPr>
          <w:rFonts w:cs="Arial"/>
        </w:rPr>
        <w:tab/>
      </w:r>
      <w:r>
        <w:rPr>
          <w:rFonts w:cs="Arial"/>
        </w:rPr>
        <w:t>Introduction</w:t>
      </w:r>
    </w:p>
    <w:p>
      <w:pPr>
        <w:rPr>
          <w:rFonts w:hint="eastAsia"/>
          <w:lang w:val="en-US" w:eastAsia="zh-CN"/>
        </w:rPr>
      </w:pPr>
      <w:bookmarkStart w:id="3" w:name="_Hlk48630882"/>
      <w:r>
        <w:rPr>
          <w:rFonts w:hint="eastAsia"/>
          <w:lang w:val="en-US" w:eastAsia="zh-CN"/>
        </w:rPr>
        <w:t>In previous meeting, companies have discussed the UE awareness issue for the MBS QoE and make no consensus on whether further enhancement is needed. The following progress has been made at the end of previous meeting:</w:t>
      </w:r>
    </w:p>
    <w:p>
      <w:pPr>
        <w:spacing w:before="120" w:beforeAutospacing="0" w:after="0"/>
        <w:rPr>
          <w:rFonts w:ascii="Calibri" w:hAnsi="Calibri" w:cs="Calibri"/>
          <w:b/>
          <w:bCs/>
          <w:color w:val="008000"/>
          <w:sz w:val="18"/>
          <w:szCs w:val="20"/>
        </w:rPr>
      </w:pPr>
      <w:r>
        <w:rPr>
          <w:rFonts w:ascii="Calibri" w:hAnsi="Calibri" w:cs="Calibri"/>
          <w:b/>
          <w:bCs/>
          <w:color w:val="008000"/>
          <w:sz w:val="18"/>
          <w:szCs w:val="20"/>
        </w:rPr>
        <w:t>The UE should be aware whether to conduct QMC for MBS in broadcast or in multicast mode.</w:t>
      </w:r>
    </w:p>
    <w:p>
      <w:pPr>
        <w:spacing w:before="120" w:beforeAutospacing="0" w:after="0"/>
        <w:rPr>
          <w:rFonts w:ascii="Calibri" w:hAnsi="Calibri" w:cs="Calibri"/>
          <w:b/>
          <w:bCs/>
          <w:color w:val="0000FF"/>
          <w:sz w:val="18"/>
          <w:szCs w:val="20"/>
        </w:rPr>
      </w:pPr>
      <w:r>
        <w:rPr>
          <w:rFonts w:ascii="Calibri" w:hAnsi="Calibri" w:cs="Calibri"/>
          <w:b/>
          <w:bCs/>
          <w:color w:val="0000FF"/>
          <w:sz w:val="18"/>
          <w:szCs w:val="20"/>
        </w:rPr>
        <w:t>FFS whether the UE is informed via RRC or via the QMC configuration container or existing solutions.</w:t>
      </w:r>
    </w:p>
    <w:p>
      <w:pPr>
        <w:bidi w:val="0"/>
        <w:rPr>
          <w:rFonts w:hint="default"/>
          <w:lang w:val="en-US" w:eastAsia="zh-CN"/>
        </w:rPr>
      </w:pPr>
      <w:r>
        <w:rPr>
          <w:rFonts w:hint="eastAsia"/>
          <w:lang w:val="en-US" w:eastAsia="zh-CN"/>
        </w:rPr>
        <w:t xml:space="preserve">This paper further </w:t>
      </w:r>
      <w:r>
        <w:rPr>
          <w:rFonts w:hint="default"/>
          <w:lang w:val="en-US" w:eastAsia="zh-CN"/>
        </w:rPr>
        <w:t xml:space="preserve">provide our views on this open issue </w:t>
      </w:r>
      <w:r>
        <w:rPr>
          <w:rFonts w:hint="eastAsia"/>
          <w:lang w:val="en-US" w:eastAsia="zh-CN"/>
        </w:rPr>
        <w:t>based on our previous outcome and contributions received this meeting.</w:t>
      </w:r>
    </w:p>
    <w:bookmarkEnd w:id="3"/>
    <w:p>
      <w:pPr>
        <w:pStyle w:val="2"/>
        <w:numPr>
          <w:ilvl w:val="0"/>
          <w:numId w:val="2"/>
        </w:numPr>
      </w:pPr>
      <w:r>
        <w:t>Discussion</w:t>
      </w:r>
    </w:p>
    <w:p>
      <w:pPr>
        <w:numPr>
          <w:ilvl w:val="0"/>
          <w:numId w:val="0"/>
        </w:numPr>
        <w:rPr>
          <w:rFonts w:hint="default" w:eastAsiaTheme="minorEastAsia"/>
          <w:lang w:val="en-US" w:eastAsia="zh-CN"/>
        </w:rPr>
      </w:pPr>
      <w:r>
        <w:rPr>
          <w:rFonts w:hint="default"/>
          <w:lang w:val="en-US"/>
        </w:rPr>
        <w:t xml:space="preserve">As explained in [1] and previously received LS[2], OAM, CN and gNB know a specific QoE configuration is for the MBS service type(e.g. broadcast or multicast). More specifically, as explained in previous received LS[2],  SA5 has updated the </w:t>
      </w:r>
      <w:r>
        <w:rPr>
          <w:rFonts w:hint="default"/>
          <w:i/>
          <w:iCs/>
          <w:lang w:val="en-US"/>
        </w:rPr>
        <w:t xml:space="preserve">QMCJob </w:t>
      </w:r>
      <w:r>
        <w:rPr>
          <w:rFonts w:hint="default"/>
          <w:lang w:val="en-US"/>
        </w:rPr>
        <w:t xml:space="preserve">IE in section 4.3.54.2, TS 28.622 with the new added value </w:t>
      </w:r>
      <w:r>
        <w:rPr>
          <w:rFonts w:hint="default"/>
          <w:i/>
          <w:iCs/>
          <w:lang w:val="en-US"/>
        </w:rPr>
        <w:t xml:space="preserve">mBSCommunicationServiceType </w:t>
      </w:r>
      <w:r>
        <w:rPr>
          <w:rFonts w:hint="default"/>
          <w:i w:val="0"/>
          <w:iCs w:val="0"/>
          <w:lang w:val="en-US"/>
        </w:rPr>
        <w:t>shown below. By using this new added value, OAM and CN can know the specific MBS service type for a QoE configuration.</w:t>
      </w:r>
    </w:p>
    <w:p>
      <w:pPr>
        <w:numPr>
          <w:ilvl w:val="0"/>
          <w:numId w:val="0"/>
        </w:numPr>
        <w:jc w:val="center"/>
        <w:rPr>
          <w:rFonts w:hint="default"/>
          <w:color w:val="FF0000"/>
          <w:lang w:val="en-US"/>
        </w:rPr>
      </w:pPr>
      <w:r>
        <w:rPr>
          <w:rFonts w:hint="default"/>
          <w:color w:val="FF0000"/>
          <w:lang w:val="en-US"/>
        </w:rPr>
        <w:t>==== content in TS 28.622 ====</w:t>
      </w:r>
    </w:p>
    <w:p>
      <w:pPr>
        <w:pStyle w:val="5"/>
      </w:pPr>
      <w:bookmarkStart w:id="4" w:name="_Toc162446461"/>
      <w:bookmarkStart w:id="5" w:name="_Toc153371542"/>
      <w:bookmarkStart w:id="6" w:name="_Toc90484383"/>
      <w:r>
        <w:t>4.3.54.2</w:t>
      </w:r>
      <w:r>
        <w:tab/>
      </w:r>
      <w:r>
        <w:t>Attributes</w:t>
      </w:r>
      <w:bookmarkEnd w:id="4"/>
    </w:p>
    <w:p>
      <w:r>
        <w:t xml:space="preserve">The </w:t>
      </w:r>
      <w:r>
        <w:rPr>
          <w:rFonts w:ascii="Courier New" w:hAnsi="Courier New" w:cs="Courier New"/>
        </w:rPr>
        <w:t>QMCJob</w:t>
      </w:r>
      <w:r>
        <w:t xml:space="preserve"> IOC includes attributes inherited from Top IOC (defined in clause 4.3.29) and the following attributes:</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659"/>
        <w:gridCol w:w="388"/>
        <w:gridCol w:w="1163"/>
        <w:gridCol w:w="1163"/>
        <w:gridCol w:w="1163"/>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shd w:val="clear" w:color="auto" w:fill="BFBFBF"/>
            <w:noWrap/>
            <w:vAlign w:val="center"/>
          </w:tcPr>
          <w:p>
            <w:pPr>
              <w:pStyle w:val="55"/>
              <w:rPr>
                <w:szCs w:val="18"/>
              </w:rPr>
            </w:pPr>
            <w:r>
              <w:rPr>
                <w:szCs w:val="18"/>
              </w:rPr>
              <w:t>Attribute Name</w:t>
            </w:r>
          </w:p>
        </w:tc>
        <w:tc>
          <w:tcPr>
            <w:tcW w:w="200" w:type="pct"/>
            <w:tcBorders>
              <w:top w:val="single" w:color="auto" w:sz="4" w:space="0"/>
              <w:left w:val="single" w:color="auto" w:sz="4" w:space="0"/>
              <w:bottom w:val="single" w:color="auto" w:sz="4" w:space="0"/>
              <w:right w:val="single" w:color="auto" w:sz="4" w:space="0"/>
            </w:tcBorders>
            <w:shd w:val="clear" w:color="auto" w:fill="BFBFBF"/>
            <w:noWrap/>
            <w:vAlign w:val="center"/>
          </w:tcPr>
          <w:p>
            <w:pPr>
              <w:pStyle w:val="55"/>
              <w:rPr>
                <w:szCs w:val="18"/>
              </w:rPr>
            </w:pPr>
            <w:r>
              <w:rPr>
                <w:szCs w:val="18"/>
              </w:rPr>
              <w:t>S</w:t>
            </w:r>
          </w:p>
        </w:tc>
        <w:tc>
          <w:tcPr>
            <w:tcW w:w="600" w:type="pct"/>
            <w:tcBorders>
              <w:top w:val="single" w:color="auto" w:sz="4" w:space="0"/>
              <w:left w:val="single" w:color="auto" w:sz="4" w:space="0"/>
              <w:bottom w:val="single" w:color="auto" w:sz="4" w:space="0"/>
              <w:right w:val="single" w:color="auto" w:sz="4" w:space="0"/>
            </w:tcBorders>
            <w:shd w:val="clear" w:color="auto" w:fill="BFBFBF"/>
            <w:noWrap/>
            <w:vAlign w:val="center"/>
          </w:tcPr>
          <w:p>
            <w:pPr>
              <w:pStyle w:val="55"/>
              <w:rPr>
                <w:szCs w:val="18"/>
              </w:rPr>
            </w:pPr>
            <w:r>
              <w:rPr>
                <w:szCs w:val="18"/>
              </w:rPr>
              <w:t>isReadable</w:t>
            </w:r>
          </w:p>
        </w:tc>
        <w:tc>
          <w:tcPr>
            <w:tcW w:w="600" w:type="pct"/>
            <w:tcBorders>
              <w:top w:val="single" w:color="auto" w:sz="4" w:space="0"/>
              <w:left w:val="single" w:color="auto" w:sz="4" w:space="0"/>
              <w:bottom w:val="single" w:color="auto" w:sz="4" w:space="0"/>
              <w:right w:val="single" w:color="auto" w:sz="4" w:space="0"/>
            </w:tcBorders>
            <w:shd w:val="clear" w:color="auto" w:fill="BFBFBF"/>
            <w:noWrap/>
            <w:vAlign w:val="center"/>
          </w:tcPr>
          <w:p>
            <w:pPr>
              <w:pStyle w:val="55"/>
              <w:rPr>
                <w:szCs w:val="18"/>
              </w:rPr>
            </w:pPr>
            <w:r>
              <w:rPr>
                <w:szCs w:val="18"/>
              </w:rPr>
              <w:t>isWritable</w:t>
            </w:r>
          </w:p>
        </w:tc>
        <w:tc>
          <w:tcPr>
            <w:tcW w:w="600" w:type="pct"/>
            <w:tcBorders>
              <w:top w:val="single" w:color="auto" w:sz="4" w:space="0"/>
              <w:left w:val="single" w:color="auto" w:sz="4" w:space="0"/>
              <w:bottom w:val="single" w:color="auto" w:sz="4" w:space="0"/>
              <w:right w:val="single" w:color="auto" w:sz="4" w:space="0"/>
            </w:tcBorders>
            <w:shd w:val="clear" w:color="auto" w:fill="BFBFBF"/>
            <w:noWrap/>
            <w:vAlign w:val="center"/>
          </w:tcPr>
          <w:p>
            <w:pPr>
              <w:pStyle w:val="55"/>
              <w:rPr>
                <w:szCs w:val="18"/>
              </w:rPr>
            </w:pPr>
            <w:r>
              <w:rPr>
                <w:szCs w:val="18"/>
              </w:rPr>
              <w:t>isInvariant</w:t>
            </w:r>
          </w:p>
        </w:tc>
        <w:tc>
          <w:tcPr>
            <w:tcW w:w="598" w:type="pct"/>
            <w:tcBorders>
              <w:top w:val="single" w:color="auto" w:sz="4" w:space="0"/>
              <w:left w:val="single" w:color="auto" w:sz="4" w:space="0"/>
              <w:bottom w:val="single" w:color="auto" w:sz="4" w:space="0"/>
              <w:right w:val="single" w:color="auto" w:sz="4" w:space="0"/>
            </w:tcBorders>
            <w:shd w:val="clear" w:color="auto" w:fill="BFBFBF"/>
            <w:noWrap/>
            <w:vAlign w:val="center"/>
          </w:tcPr>
          <w:p>
            <w:pPr>
              <w:pStyle w:val="55"/>
              <w:rPr>
                <w:szCs w:val="18"/>
              </w:rPr>
            </w:pPr>
            <w:r>
              <w:rPr>
                <w:szCs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serviceType</w:t>
            </w:r>
          </w:p>
        </w:tc>
        <w:tc>
          <w:tcPr>
            <w:tcW w:w="200" w:type="pct"/>
            <w:tcBorders>
              <w:top w:val="single" w:color="auto" w:sz="4" w:space="0"/>
              <w:left w:val="single" w:color="auto" w:sz="4" w:space="0"/>
              <w:bottom w:val="single" w:color="auto" w:sz="4" w:space="0"/>
              <w:right w:val="single" w:color="auto" w:sz="4" w:space="0"/>
            </w:tcBorders>
            <w:noWrap/>
          </w:tcPr>
          <w:p>
            <w:pPr>
              <w:pStyle w:val="57"/>
            </w:pPr>
            <w:r>
              <w:rPr>
                <w:lang w:eastAsia="zh-CN"/>
              </w:rPr>
              <w:t>M</w:t>
            </w:r>
          </w:p>
        </w:tc>
        <w:tc>
          <w:tcPr>
            <w:tcW w:w="600" w:type="pct"/>
            <w:tcBorders>
              <w:top w:val="single" w:color="auto" w:sz="4" w:space="0"/>
              <w:left w:val="single" w:color="auto" w:sz="4" w:space="0"/>
              <w:bottom w:val="single" w:color="auto" w:sz="4" w:space="0"/>
              <w:right w:val="single" w:color="auto" w:sz="4" w:space="0"/>
            </w:tcBorders>
            <w:noWrap/>
          </w:tcPr>
          <w:p>
            <w:pPr>
              <w:pStyle w:val="57"/>
            </w:pPr>
            <w:r>
              <w:rPr>
                <w:lang w:eastAsia="zh-CN"/>
              </w:rP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rPr>
                <w:lang w:eastAsia="zh-CN"/>
              </w:rP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rPr>
                <w:lang w:eastAsia="zh-CN"/>
              </w:rP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areaScope</w:t>
            </w:r>
          </w:p>
        </w:tc>
        <w:tc>
          <w:tcPr>
            <w:tcW w:w="2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CM</w:t>
            </w:r>
          </w:p>
        </w:tc>
        <w:tc>
          <w:tcPr>
            <w:tcW w:w="6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T</w:t>
            </w:r>
          </w:p>
        </w:tc>
        <w:tc>
          <w:tcPr>
            <w:tcW w:w="6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T</w:t>
            </w:r>
          </w:p>
        </w:tc>
        <w:tc>
          <w:tcPr>
            <w:tcW w:w="6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F</w:t>
            </w:r>
          </w:p>
        </w:tc>
        <w:tc>
          <w:tcPr>
            <w:tcW w:w="598"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qoECollectionEntityAddress</w:t>
            </w:r>
          </w:p>
        </w:tc>
        <w:tc>
          <w:tcPr>
            <w:tcW w:w="2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M</w:t>
            </w:r>
          </w:p>
        </w:tc>
        <w:tc>
          <w:tcPr>
            <w:tcW w:w="6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T</w:t>
            </w:r>
          </w:p>
        </w:tc>
        <w:tc>
          <w:tcPr>
            <w:tcW w:w="6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T</w:t>
            </w:r>
          </w:p>
        </w:tc>
        <w:tc>
          <w:tcPr>
            <w:tcW w:w="600"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F</w:t>
            </w:r>
          </w:p>
        </w:tc>
        <w:tc>
          <w:tcPr>
            <w:tcW w:w="598" w:type="pct"/>
            <w:tcBorders>
              <w:top w:val="single" w:color="auto" w:sz="4" w:space="0"/>
              <w:left w:val="single" w:color="auto" w:sz="4" w:space="0"/>
              <w:bottom w:val="single" w:color="auto" w:sz="4" w:space="0"/>
              <w:right w:val="single" w:color="auto" w:sz="4" w:space="0"/>
            </w:tcBorders>
            <w:noWrap/>
          </w:tcPr>
          <w:p>
            <w:pPr>
              <w:pStyle w:val="57"/>
              <w:rPr>
                <w:rFonts w:eastAsia="宋体"/>
                <w:lang w:eastAsia="zh-CN"/>
              </w:rPr>
            </w:pPr>
            <w:r>
              <w:rPr>
                <w:rFonts w:eastAsia="宋体"/>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 xml:space="preserve">pLMNTarget </w:t>
            </w:r>
          </w:p>
        </w:tc>
        <w:tc>
          <w:tcPr>
            <w:tcW w:w="200" w:type="pct"/>
            <w:tcBorders>
              <w:top w:val="single" w:color="auto" w:sz="4" w:space="0"/>
              <w:left w:val="single" w:color="auto" w:sz="4" w:space="0"/>
              <w:bottom w:val="single" w:color="auto" w:sz="4" w:space="0"/>
              <w:right w:val="single" w:color="auto" w:sz="4" w:space="0"/>
            </w:tcBorders>
            <w:noWrap/>
          </w:tcPr>
          <w:p>
            <w:pPr>
              <w:pStyle w:val="57"/>
            </w:pPr>
            <w:r>
              <w:t>CM</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qoETarget</w:t>
            </w:r>
          </w:p>
        </w:tc>
        <w:tc>
          <w:tcPr>
            <w:tcW w:w="200" w:type="pct"/>
            <w:tcBorders>
              <w:top w:val="single" w:color="auto" w:sz="4" w:space="0"/>
              <w:left w:val="single" w:color="auto" w:sz="4" w:space="0"/>
              <w:bottom w:val="single" w:color="auto" w:sz="4" w:space="0"/>
              <w:right w:val="single" w:color="auto" w:sz="4" w:space="0"/>
            </w:tcBorders>
            <w:noWrap/>
          </w:tcPr>
          <w:p>
            <w:pPr>
              <w:pStyle w:val="57"/>
            </w:pPr>
            <w:r>
              <w:t>CM</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qoEReference</w:t>
            </w:r>
          </w:p>
        </w:tc>
        <w:tc>
          <w:tcPr>
            <w:tcW w:w="200" w:type="pct"/>
            <w:tcBorders>
              <w:top w:val="single" w:color="auto" w:sz="4" w:space="0"/>
              <w:left w:val="single" w:color="auto" w:sz="4" w:space="0"/>
              <w:bottom w:val="single" w:color="auto" w:sz="4" w:space="0"/>
              <w:right w:val="single" w:color="auto" w:sz="4" w:space="0"/>
            </w:tcBorders>
            <w:noWrap/>
          </w:tcPr>
          <w:p>
            <w:pPr>
              <w:pStyle w:val="57"/>
            </w:pPr>
            <w:r>
              <w:t>M</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jobId</w:t>
            </w:r>
          </w:p>
        </w:tc>
        <w:tc>
          <w:tcPr>
            <w:tcW w:w="200" w:type="pct"/>
            <w:tcBorders>
              <w:top w:val="single" w:color="auto" w:sz="4" w:space="0"/>
              <w:left w:val="single" w:color="auto" w:sz="4" w:space="0"/>
              <w:bottom w:val="single" w:color="auto" w:sz="4" w:space="0"/>
              <w:right w:val="single" w:color="auto" w:sz="4" w:space="0"/>
            </w:tcBorders>
            <w:noWrap/>
          </w:tcPr>
          <w:p>
            <w:pPr>
              <w:pStyle w:val="57"/>
            </w:pPr>
            <w:r>
              <w:rPr>
                <w:rFonts w:cs="Arial"/>
                <w:szCs w:val="18"/>
                <w:lang w:val="de-DE"/>
              </w:rPr>
              <w:t>O</w:t>
            </w:r>
          </w:p>
        </w:tc>
        <w:tc>
          <w:tcPr>
            <w:tcW w:w="600" w:type="pct"/>
            <w:tcBorders>
              <w:top w:val="single" w:color="auto" w:sz="4" w:space="0"/>
              <w:left w:val="single" w:color="auto" w:sz="4" w:space="0"/>
              <w:bottom w:val="single" w:color="auto" w:sz="4" w:space="0"/>
              <w:right w:val="single" w:color="auto" w:sz="4" w:space="0"/>
            </w:tcBorders>
            <w:noWrap/>
          </w:tcPr>
          <w:p>
            <w:pPr>
              <w:pStyle w:val="57"/>
            </w:pPr>
            <w:r>
              <w:rPr>
                <w:rFonts w:cs="Arial"/>
                <w:szCs w:val="18"/>
                <w:lang w:val="de-DE"/>
              </w:rP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rPr>
                <w:rFonts w:cs="Arial"/>
                <w:szCs w:val="18"/>
                <w:lang w:val="de-DE"/>
              </w:rP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rPr>
                <w:rFonts w:cs="Arial"/>
                <w:szCs w:val="18"/>
                <w:lang w:val="de-DE" w:eastAsia="zh-CN"/>
              </w:rPr>
              <w:t>T</w:t>
            </w:r>
          </w:p>
        </w:tc>
        <w:tc>
          <w:tcPr>
            <w:tcW w:w="598" w:type="pct"/>
            <w:tcBorders>
              <w:top w:val="single" w:color="auto" w:sz="4" w:space="0"/>
              <w:left w:val="single" w:color="auto" w:sz="4" w:space="0"/>
              <w:bottom w:val="single" w:color="auto" w:sz="4" w:space="0"/>
              <w:right w:val="single" w:color="auto" w:sz="4" w:space="0"/>
            </w:tcBorders>
            <w:noWrap/>
          </w:tcPr>
          <w:p>
            <w:pPr>
              <w:pStyle w:val="57"/>
            </w:pPr>
            <w:r>
              <w:rPr>
                <w:rFonts w:cs="Arial"/>
                <w:szCs w:val="18"/>
                <w:lang w:val="de-DE"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sliceScope</w:t>
            </w:r>
          </w:p>
        </w:tc>
        <w:tc>
          <w:tcPr>
            <w:tcW w:w="200" w:type="pct"/>
            <w:tcBorders>
              <w:top w:val="single" w:color="auto" w:sz="4" w:space="0"/>
              <w:left w:val="single" w:color="auto" w:sz="4" w:space="0"/>
              <w:bottom w:val="single" w:color="auto" w:sz="4" w:space="0"/>
              <w:right w:val="single" w:color="auto" w:sz="4" w:space="0"/>
            </w:tcBorders>
            <w:noWrap/>
          </w:tcPr>
          <w:p>
            <w:pPr>
              <w:pStyle w:val="57"/>
            </w:pPr>
            <w:r>
              <w:t>CM</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rPr>
              <w:t>qMCConfigFile</w:t>
            </w:r>
          </w:p>
        </w:tc>
        <w:tc>
          <w:tcPr>
            <w:tcW w:w="200" w:type="pct"/>
            <w:tcBorders>
              <w:top w:val="single" w:color="auto" w:sz="4" w:space="0"/>
              <w:left w:val="single" w:color="auto" w:sz="4" w:space="0"/>
              <w:bottom w:val="single" w:color="auto" w:sz="4" w:space="0"/>
              <w:right w:val="single" w:color="auto" w:sz="4" w:space="0"/>
            </w:tcBorders>
            <w:noWrap/>
          </w:tcPr>
          <w:p>
            <w:pPr>
              <w:pStyle w:val="57"/>
            </w:pPr>
            <w:r>
              <w:t>M</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pPr>
            <w:r>
              <w:rPr>
                <w:rFonts w:ascii="Courier New" w:hAnsi="Courier New" w:cs="Courier New"/>
              </w:rPr>
              <w:t>mDTAlignmentInformation</w:t>
            </w:r>
          </w:p>
        </w:tc>
        <w:tc>
          <w:tcPr>
            <w:tcW w:w="200" w:type="pct"/>
            <w:tcBorders>
              <w:top w:val="single" w:color="auto" w:sz="4" w:space="0"/>
              <w:left w:val="single" w:color="auto" w:sz="4" w:space="0"/>
              <w:bottom w:val="single" w:color="auto" w:sz="4" w:space="0"/>
              <w:right w:val="single" w:color="auto" w:sz="4" w:space="0"/>
            </w:tcBorders>
            <w:noWrap/>
          </w:tcPr>
          <w:p>
            <w:pPr>
              <w:pStyle w:val="57"/>
            </w:pPr>
            <w:r>
              <w:t>O</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pPr>
            <w:r>
              <w:rPr>
                <w:rFonts w:ascii="Courier New" w:hAnsi="Courier New" w:cs="Courier New"/>
              </w:rPr>
              <w:t>availableRANqoEMetrics</w:t>
            </w:r>
          </w:p>
        </w:tc>
        <w:tc>
          <w:tcPr>
            <w:tcW w:w="200" w:type="pct"/>
            <w:tcBorders>
              <w:top w:val="single" w:color="auto" w:sz="4" w:space="0"/>
              <w:left w:val="single" w:color="auto" w:sz="4" w:space="0"/>
              <w:bottom w:val="single" w:color="auto" w:sz="4" w:space="0"/>
              <w:right w:val="single" w:color="auto" w:sz="4" w:space="0"/>
            </w:tcBorders>
            <w:noWrap/>
          </w:tcPr>
          <w:p>
            <w:pPr>
              <w:pStyle w:val="57"/>
            </w:pPr>
            <w:r>
              <w:t>O</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403" w:type="pct"/>
            <w:tcBorders>
              <w:top w:val="single" w:color="auto" w:sz="4" w:space="0"/>
              <w:left w:val="single" w:color="auto" w:sz="4" w:space="0"/>
              <w:bottom w:val="single" w:color="auto" w:sz="4" w:space="0"/>
              <w:right w:val="single" w:color="auto" w:sz="4" w:space="0"/>
            </w:tcBorders>
            <w:noWrap/>
          </w:tcPr>
          <w:p>
            <w:pPr>
              <w:pStyle w:val="57"/>
              <w:rPr>
                <w:rFonts w:ascii="Courier New" w:hAnsi="Courier New" w:cs="Courier New"/>
              </w:rPr>
            </w:pPr>
            <w:r>
              <w:rPr>
                <w:rFonts w:ascii="Courier New" w:hAnsi="Courier New" w:cs="Courier New"/>
                <w:highlight w:val="yellow"/>
              </w:rPr>
              <w:t>mBSCommunicationServiceType</w:t>
            </w:r>
          </w:p>
        </w:tc>
        <w:tc>
          <w:tcPr>
            <w:tcW w:w="200" w:type="pct"/>
            <w:tcBorders>
              <w:top w:val="single" w:color="auto" w:sz="4" w:space="0"/>
              <w:left w:val="single" w:color="auto" w:sz="4" w:space="0"/>
              <w:bottom w:val="single" w:color="auto" w:sz="4" w:space="0"/>
              <w:right w:val="single" w:color="auto" w:sz="4" w:space="0"/>
            </w:tcBorders>
            <w:noWrap/>
          </w:tcPr>
          <w:p>
            <w:pPr>
              <w:pStyle w:val="57"/>
            </w:pPr>
            <w:r>
              <w:t>O</w:t>
            </w:r>
          </w:p>
        </w:tc>
        <w:tc>
          <w:tcPr>
            <w:tcW w:w="600" w:type="pct"/>
            <w:tcBorders>
              <w:top w:val="single" w:color="auto" w:sz="4" w:space="0"/>
              <w:left w:val="single" w:color="auto" w:sz="4" w:space="0"/>
              <w:bottom w:val="single" w:color="auto" w:sz="4" w:space="0"/>
              <w:right w:val="single" w:color="auto" w:sz="4" w:space="0"/>
            </w:tcBorders>
            <w:noWrap/>
          </w:tcPr>
          <w:p>
            <w:pPr>
              <w:pStyle w:val="57"/>
            </w:pPr>
            <w:r>
              <w:t>T</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600" w:type="pct"/>
            <w:tcBorders>
              <w:top w:val="single" w:color="auto" w:sz="4" w:space="0"/>
              <w:left w:val="single" w:color="auto" w:sz="4" w:space="0"/>
              <w:bottom w:val="single" w:color="auto" w:sz="4" w:space="0"/>
              <w:right w:val="single" w:color="auto" w:sz="4" w:space="0"/>
            </w:tcBorders>
            <w:noWrap/>
          </w:tcPr>
          <w:p>
            <w:pPr>
              <w:pStyle w:val="57"/>
            </w:pPr>
            <w:r>
              <w:t>F</w:t>
            </w:r>
          </w:p>
        </w:tc>
        <w:tc>
          <w:tcPr>
            <w:tcW w:w="598" w:type="pct"/>
            <w:tcBorders>
              <w:top w:val="single" w:color="auto" w:sz="4" w:space="0"/>
              <w:left w:val="single" w:color="auto" w:sz="4" w:space="0"/>
              <w:bottom w:val="single" w:color="auto" w:sz="4" w:space="0"/>
              <w:right w:val="single" w:color="auto" w:sz="4" w:space="0"/>
            </w:tcBorders>
            <w:noWrap/>
          </w:tcPr>
          <w:p>
            <w:pPr>
              <w:pStyle w:val="57"/>
            </w:pPr>
            <w:r>
              <w:t>T</w:t>
            </w:r>
          </w:p>
        </w:tc>
      </w:tr>
      <w:bookmarkEnd w:id="5"/>
      <w:bookmarkEnd w:id="6"/>
    </w:tbl>
    <w:p>
      <w:pPr>
        <w:numPr>
          <w:ilvl w:val="0"/>
          <w:numId w:val="0"/>
        </w:numPr>
        <w:rPr>
          <w:rFonts w:hint="default"/>
          <w:lang w:val="en-US"/>
        </w:rPr>
      </w:pPr>
    </w:p>
    <w:p>
      <w:pPr>
        <w:pStyle w:val="4"/>
      </w:pPr>
      <w:bookmarkStart w:id="7" w:name="_Toc45272705"/>
      <w:bookmarkStart w:id="8" w:name="_Toc20150485"/>
      <w:bookmarkStart w:id="9" w:name="_Toc44516390"/>
      <w:bookmarkStart w:id="10" w:name="_Toc36025283"/>
      <w:bookmarkStart w:id="11" w:name="_Toc51754703"/>
      <w:bookmarkStart w:id="12" w:name="_Toc162446528"/>
      <w:bookmarkStart w:id="13" w:name="_Toc27479748"/>
      <w:r>
        <w:t>4.4.1</w:t>
      </w:r>
      <w:r>
        <w:tab/>
      </w:r>
      <w:r>
        <w:t>Attribute properties</w:t>
      </w:r>
      <w:bookmarkEnd w:id="7"/>
      <w:bookmarkEnd w:id="8"/>
      <w:bookmarkEnd w:id="9"/>
      <w:bookmarkEnd w:id="10"/>
      <w:bookmarkEnd w:id="11"/>
      <w:bookmarkEnd w:id="12"/>
      <w:bookmarkEnd w:id="13"/>
    </w:p>
    <w:p>
      <w:pPr>
        <w:keepNext/>
      </w:pPr>
      <w:r>
        <w:t xml:space="preserve">The following table defines the properties of attributes specified in the present document. </w:t>
      </w:r>
    </w:p>
    <w:tbl>
      <w:tblPr>
        <w:tblStyle w:val="4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55"/>
              <w:rPr>
                <w:rFonts w:cs="Arial"/>
                <w:szCs w:val="18"/>
              </w:rPr>
            </w:pPr>
            <w:r>
              <w:rPr>
                <w:rFonts w:cs="Arial"/>
                <w:szCs w:val="18"/>
              </w:rPr>
              <w:t>Attribute Name</w:t>
            </w:r>
          </w:p>
        </w:tc>
        <w:tc>
          <w:tcPr>
            <w:tcW w:w="5245" w:type="dxa"/>
            <w:shd w:val="clear" w:color="auto" w:fill="BFBFBF"/>
          </w:tcPr>
          <w:p>
            <w:pPr>
              <w:pStyle w:val="55"/>
              <w:rPr>
                <w:szCs w:val="18"/>
              </w:rPr>
            </w:pPr>
            <w:r>
              <w:rPr>
                <w:szCs w:val="18"/>
              </w:rPr>
              <w:t>Documentation and Allowed Values</w:t>
            </w:r>
          </w:p>
        </w:tc>
        <w:tc>
          <w:tcPr>
            <w:tcW w:w="1984" w:type="dxa"/>
            <w:shd w:val="clear" w:color="auto" w:fill="BFBFBF"/>
          </w:tcPr>
          <w:p>
            <w:pPr>
              <w:pStyle w:val="55"/>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57"/>
              <w:rPr>
                <w:rFonts w:cs="Arial"/>
                <w:szCs w:val="18"/>
              </w:rPr>
            </w:pPr>
            <w:r>
              <w:rPr>
                <w:rFonts w:cs="Arial"/>
                <w:szCs w:val="18"/>
              </w:rPr>
              <w:t>numberOfFiles</w:t>
            </w:r>
          </w:p>
        </w:tc>
        <w:tc>
          <w:tcPr>
            <w:tcW w:w="5245" w:type="dxa"/>
          </w:tcPr>
          <w:p>
            <w:pPr>
              <w:pStyle w:val="57"/>
              <w:rPr>
                <w:rFonts w:cs="Arial"/>
                <w:szCs w:val="18"/>
              </w:rPr>
            </w:pPr>
            <w:r>
              <w:rPr>
                <w:rFonts w:cs="Arial"/>
                <w:szCs w:val="18"/>
              </w:rPr>
              <w:t>Number of files in a file collection.</w:t>
            </w:r>
          </w:p>
          <w:p>
            <w:pPr>
              <w:pStyle w:val="57"/>
              <w:rPr>
                <w:rFonts w:cs="Arial"/>
                <w:szCs w:val="18"/>
              </w:rPr>
            </w:pPr>
          </w:p>
          <w:p>
            <w:pPr>
              <w:pStyle w:val="57"/>
              <w:rPr>
                <w:rFonts w:cs="Arial"/>
                <w:szCs w:val="18"/>
              </w:rPr>
            </w:pPr>
            <w:r>
              <w:rPr>
                <w:szCs w:val="18"/>
              </w:rPr>
              <w:t>allowedValues: NA</w:t>
            </w:r>
          </w:p>
        </w:tc>
        <w:tc>
          <w:tcPr>
            <w:tcW w:w="1984" w:type="dxa"/>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57"/>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9776" w:type="dxa"/>
            <w:gridSpan w:val="3"/>
          </w:tcPr>
          <w:p>
            <w:pPr>
              <w:pStyle w:val="57"/>
              <w:jc w:val="center"/>
              <w:rPr>
                <w:rFonts w:hint="default" w:cs="Arial"/>
                <w:szCs w:val="18"/>
                <w:lang w:val="en-US"/>
              </w:rPr>
            </w:pPr>
            <w:r>
              <w:rPr>
                <w:rFonts w:hint="default" w:cs="Arial"/>
                <w:color w:val="FF0000"/>
                <w:szCs w:val="18"/>
                <w:lang w:val="en-US"/>
              </w:rPr>
              <w:t>SKIP UNRELATED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57"/>
              <w:rPr>
                <w:rFonts w:cs="Arial"/>
              </w:rPr>
            </w:pPr>
            <w:r>
              <w:rPr>
                <w:rFonts w:ascii="Courier New" w:hAnsi="Courier New" w:cs="Courier New"/>
              </w:rPr>
              <w:t>mBSCommunicationServiceType</w:t>
            </w:r>
          </w:p>
        </w:tc>
        <w:tc>
          <w:tcPr>
            <w:tcW w:w="5245" w:type="dxa"/>
          </w:tcPr>
          <w:p>
            <w:pPr>
              <w:keepLines/>
              <w:tabs>
                <w:tab w:val="decimal" w:pos="0"/>
              </w:tabs>
              <w:spacing w:line="0" w:lineRule="atLeast"/>
              <w:rPr>
                <w:rStyle w:val="122"/>
                <w:szCs w:val="18"/>
              </w:rPr>
            </w:pPr>
            <w:r>
              <w:rPr>
                <w:rStyle w:val="122"/>
                <w:szCs w:val="18"/>
              </w:rPr>
              <w:t>This IE indicates for which type of MBS communication service the QoE measurement configuration pertains to.</w:t>
            </w:r>
            <w:r>
              <w:rPr>
                <w:rFonts w:ascii="Arial" w:hAnsi="Arial" w:cs="Arial"/>
                <w:sz w:val="18"/>
                <w:szCs w:val="18"/>
              </w:rPr>
              <w:br w:type="textWrapping"/>
            </w:r>
            <w:r>
              <w:rPr>
                <w:rStyle w:val="122"/>
                <w:szCs w:val="18"/>
              </w:rPr>
              <w:t>See the clause 4.5.1 of TS 28.405 [50] for additional details.</w:t>
            </w:r>
          </w:p>
          <w:p>
            <w:pPr>
              <w:tabs>
                <w:tab w:val="center" w:pos="1333"/>
              </w:tabs>
              <w:spacing w:after="0"/>
              <w:rPr>
                <w:rFonts w:ascii="Arial" w:hAnsi="Arial" w:cs="Arial"/>
                <w:sz w:val="18"/>
                <w:szCs w:val="18"/>
              </w:rPr>
            </w:pPr>
            <w:r>
              <w:rPr>
                <w:rStyle w:val="122"/>
                <w:szCs w:val="18"/>
                <w:highlight w:val="yellow"/>
              </w:rPr>
              <w:t>allowedValue: BROADCAST, MULTICAST</w:t>
            </w:r>
          </w:p>
        </w:tc>
        <w:tc>
          <w:tcPr>
            <w:tcW w:w="1984" w:type="dxa"/>
          </w:tcPr>
          <w:p>
            <w:pPr>
              <w:pStyle w:val="57"/>
              <w:rPr>
                <w:rFonts w:cs="Arial"/>
                <w:szCs w:val="18"/>
              </w:rPr>
            </w:pPr>
            <w:r>
              <w:rPr>
                <w:rFonts w:cs="Arial"/>
                <w:szCs w:val="18"/>
              </w:rPr>
              <w:t>type: ENUM</w:t>
            </w:r>
          </w:p>
          <w:p>
            <w:pPr>
              <w:pStyle w:val="57"/>
              <w:rPr>
                <w:rFonts w:cs="Arial"/>
                <w:szCs w:val="18"/>
              </w:rPr>
            </w:pPr>
            <w:r>
              <w:rPr>
                <w:rFonts w:cs="Arial"/>
                <w:szCs w:val="18"/>
              </w:rPr>
              <w:t>multiplicity: 1</w:t>
            </w:r>
          </w:p>
          <w:p>
            <w:pPr>
              <w:pStyle w:val="57"/>
              <w:rPr>
                <w:rFonts w:cs="Arial"/>
                <w:szCs w:val="18"/>
              </w:rPr>
            </w:pPr>
            <w:r>
              <w:rPr>
                <w:rFonts w:cs="Arial"/>
                <w:szCs w:val="18"/>
              </w:rPr>
              <w:t>isOrdered: N/A</w:t>
            </w:r>
          </w:p>
          <w:p>
            <w:pPr>
              <w:pStyle w:val="57"/>
              <w:rPr>
                <w:rFonts w:cs="Arial"/>
                <w:szCs w:val="18"/>
              </w:rPr>
            </w:pPr>
            <w:r>
              <w:rPr>
                <w:rFonts w:cs="Arial"/>
                <w:szCs w:val="18"/>
              </w:rPr>
              <w:t>isUnique: N/A</w:t>
            </w:r>
          </w:p>
          <w:p>
            <w:pPr>
              <w:pStyle w:val="57"/>
              <w:rPr>
                <w:rFonts w:cs="Arial"/>
                <w:szCs w:val="18"/>
              </w:rPr>
            </w:pPr>
            <w:r>
              <w:rPr>
                <w:rFonts w:cs="Arial"/>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bl>
    <w:p>
      <w:pPr>
        <w:numPr>
          <w:ilvl w:val="0"/>
          <w:numId w:val="0"/>
        </w:numPr>
        <w:rPr>
          <w:rFonts w:hint="default"/>
          <w:lang w:val="en-US"/>
        </w:rPr>
      </w:pPr>
    </w:p>
    <w:p>
      <w:pPr>
        <w:numPr>
          <w:ilvl w:val="0"/>
          <w:numId w:val="0"/>
        </w:numPr>
        <w:jc w:val="center"/>
        <w:rPr>
          <w:rFonts w:hint="default"/>
          <w:color w:val="FF0000"/>
          <w:lang w:val="en-US"/>
        </w:rPr>
      </w:pPr>
      <w:r>
        <w:rPr>
          <w:rFonts w:hint="default"/>
          <w:color w:val="FF0000"/>
          <w:lang w:val="en-US"/>
        </w:rPr>
        <w:t>==== content in TS 28.622 ====</w:t>
      </w:r>
    </w:p>
    <w:p>
      <w:pPr>
        <w:numPr>
          <w:ilvl w:val="0"/>
          <w:numId w:val="0"/>
        </w:numPr>
        <w:rPr>
          <w:rFonts w:hint="default"/>
          <w:lang w:val="en-US"/>
        </w:rPr>
      </w:pPr>
      <w:r>
        <w:rPr>
          <w:rFonts w:hint="default"/>
          <w:lang w:val="en-US"/>
        </w:rPr>
        <w:t xml:space="preserve">In addition, based on RAN3 definition, the </w:t>
      </w:r>
      <w:r>
        <w:rPr>
          <w:rFonts w:eastAsia="宋体" w:cs="Arial"/>
          <w:i/>
          <w:iCs/>
          <w:szCs w:val="18"/>
          <w:lang w:val="en-US"/>
        </w:rPr>
        <w:t>MBS Communication Service Type</w:t>
      </w:r>
      <w:r>
        <w:rPr>
          <w:rFonts w:hint="default" w:eastAsia="宋体" w:cs="Arial"/>
          <w:szCs w:val="18"/>
          <w:lang w:val="en-US"/>
        </w:rPr>
        <w:t xml:space="preserve"> </w:t>
      </w:r>
      <w:r>
        <w:rPr>
          <w:rFonts w:hint="default"/>
          <w:lang w:val="en-US"/>
        </w:rPr>
        <w:t>IE has been introduced in NGAP messages which is used to indicate the type of MBS communication service for which the QoE measurement collection should be performed. By adding this IE into the QoE configuration, gNB knows whether a specific MBS service type is combined with a QoE configuration.</w:t>
      </w:r>
    </w:p>
    <w:p>
      <w:pPr>
        <w:numPr>
          <w:ilvl w:val="0"/>
          <w:numId w:val="0"/>
        </w:numPr>
        <w:jc w:val="center"/>
        <w:rPr>
          <w:rFonts w:hint="default"/>
          <w:color w:val="FF0000"/>
          <w:lang w:val="en-US"/>
        </w:rPr>
      </w:pPr>
      <w:r>
        <w:rPr>
          <w:rFonts w:hint="default"/>
          <w:color w:val="FF0000"/>
          <w:lang w:val="en-US"/>
        </w:rPr>
        <w:t>==== content in TS 38.413 ====</w:t>
      </w:r>
    </w:p>
    <w:tbl>
      <w:tblPr>
        <w:tblStyle w:val="43"/>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rPr>
                <w:rFonts w:eastAsia="宋体"/>
                <w:lang w:val="fr-FR" w:eastAsia="zh-CN"/>
              </w:rPr>
            </w:pPr>
            <w:bookmarkStart w:id="14" w:name="OLE_LINK3"/>
            <w:r>
              <w:rPr>
                <w:rFonts w:eastAsia="宋体" w:cs="Arial"/>
                <w:szCs w:val="18"/>
                <w:lang w:val="en-US"/>
              </w:rPr>
              <w:t>MBS Communication Service Type</w:t>
            </w:r>
            <w:bookmarkEnd w:id="14"/>
          </w:p>
        </w:tc>
        <w:tc>
          <w:tcPr>
            <w:tcW w:w="1020"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i/>
                <w:lang w:eastAsia="zh-CN"/>
              </w:rPr>
            </w:pPr>
          </w:p>
        </w:tc>
        <w:tc>
          <w:tcPr>
            <w:tcW w:w="1587"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ENUMERATED (broadcast, multicast, ...)</w:t>
            </w:r>
          </w:p>
        </w:tc>
        <w:tc>
          <w:tcPr>
            <w:tcW w:w="175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rFonts w:eastAsia="宋体"/>
                <w:lang w:eastAsia="ja-JP"/>
              </w:rPr>
              <w:t>This IE indicates the type of MBS communication service for which the QoE measurement collection should be performed.</w:t>
            </w:r>
          </w:p>
        </w:tc>
        <w:tc>
          <w:tcPr>
            <w:tcW w:w="107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MS Mincho"/>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MS Mincho"/>
                <w:lang w:eastAsia="ja-JP"/>
              </w:rPr>
              <w:t>ignore</w:t>
            </w:r>
          </w:p>
        </w:tc>
      </w:tr>
    </w:tbl>
    <w:p>
      <w:pPr>
        <w:numPr>
          <w:ilvl w:val="0"/>
          <w:numId w:val="0"/>
        </w:numPr>
        <w:rPr>
          <w:rFonts w:hint="default"/>
          <w:lang w:val="en-US"/>
        </w:rPr>
      </w:pPr>
    </w:p>
    <w:p>
      <w:pPr>
        <w:numPr>
          <w:ilvl w:val="0"/>
          <w:numId w:val="0"/>
        </w:numPr>
        <w:jc w:val="center"/>
        <w:rPr>
          <w:rFonts w:hint="default"/>
          <w:color w:val="FF0000"/>
          <w:lang w:val="en-US"/>
        </w:rPr>
      </w:pPr>
      <w:r>
        <w:rPr>
          <w:rFonts w:hint="default"/>
          <w:color w:val="FF0000"/>
          <w:lang w:val="en-US"/>
        </w:rPr>
        <w:t>==== content in TS 38.413 ====</w:t>
      </w:r>
    </w:p>
    <w:p>
      <w:pPr>
        <w:numPr>
          <w:ilvl w:val="0"/>
          <w:numId w:val="0"/>
        </w:numPr>
        <w:rPr>
          <w:rFonts w:hint="default"/>
          <w:lang w:val="en-US"/>
        </w:rPr>
      </w:pPr>
      <w:r>
        <w:rPr>
          <w:rFonts w:hint="default"/>
          <w:lang w:val="en-US"/>
        </w:rPr>
        <w:t xml:space="preserve">Hence, as shown above and explained in [1], it is clear that </w:t>
      </w:r>
      <w:bookmarkStart w:id="15" w:name="OLE_LINK4"/>
      <w:r>
        <w:rPr>
          <w:rFonts w:hint="default"/>
          <w:lang w:val="en-US"/>
        </w:rPr>
        <w:t>OAM/CN and gNB have explicitly info on whether one QoE configuration is configured for a specific MBS service type(e.g., broadcast, multicast).</w:t>
      </w:r>
      <w:bookmarkEnd w:id="15"/>
    </w:p>
    <w:p>
      <w:pPr>
        <w:numPr>
          <w:ilvl w:val="0"/>
          <w:numId w:val="0"/>
        </w:numPr>
        <w:rPr>
          <w:rFonts w:hint="default"/>
          <w:b/>
          <w:bCs/>
          <w:lang w:val="en-US"/>
        </w:rPr>
      </w:pPr>
      <w:r>
        <w:rPr>
          <w:rFonts w:hint="default"/>
          <w:b/>
          <w:bCs/>
          <w:lang w:val="en-US"/>
        </w:rPr>
        <w:t xml:space="preserve">Observation </w:t>
      </w:r>
      <w:r>
        <w:rPr>
          <w:rFonts w:hint="eastAsia"/>
          <w:b/>
          <w:bCs/>
          <w:lang w:val="en-US" w:eastAsia="zh-CN"/>
        </w:rPr>
        <w:t>1</w:t>
      </w:r>
      <w:r>
        <w:rPr>
          <w:rFonts w:hint="default"/>
          <w:b/>
          <w:bCs/>
          <w:lang w:val="en-US"/>
        </w:rPr>
        <w:t>: OAM/CN and gNB have explicitly info on whether one QoE configuration is configured for a specific MBS service type(e.g., broadcast, multicast).</w:t>
      </w:r>
    </w:p>
    <w:p>
      <w:pPr>
        <w:numPr>
          <w:ilvl w:val="0"/>
          <w:numId w:val="0"/>
        </w:numPr>
        <w:rPr>
          <w:rFonts w:hint="default"/>
          <w:lang w:val="en-US" w:eastAsia="zh-CN"/>
        </w:rPr>
      </w:pPr>
      <w:r>
        <w:rPr>
          <w:rFonts w:hint="eastAsia"/>
          <w:lang w:val="en-US" w:eastAsia="zh-CN"/>
        </w:rPr>
        <w:t>Moreover</w:t>
      </w:r>
      <w:r>
        <w:rPr>
          <w:rFonts w:hint="default"/>
          <w:lang w:val="en-US"/>
        </w:rPr>
        <w:t xml:space="preserve">, </w:t>
      </w:r>
      <w:r>
        <w:rPr>
          <w:rFonts w:hint="eastAsia"/>
          <w:lang w:val="en-US" w:eastAsia="zh-CN"/>
        </w:rPr>
        <w:t xml:space="preserve">based on our understanding, [1] further explains that UE AS layer and APP layer can know whether an ongoing session is a MBS session by UE received info e.g., bearer info, </w:t>
      </w:r>
      <w:r>
        <w:rPr>
          <w:i/>
          <w:iCs/>
        </w:rPr>
        <w:t>MBS User Service parameters</w:t>
      </w:r>
      <w:r>
        <w:rPr>
          <w:rFonts w:hint="eastAsia"/>
          <w:lang w:val="en-US" w:eastAsia="zh-CN"/>
        </w:rPr>
        <w:t xml:space="preserve"> which is defined in clause </w:t>
      </w:r>
      <w:r>
        <w:t>4.5.3</w:t>
      </w:r>
      <w:r>
        <w:rPr>
          <w:rFonts w:hint="eastAsia"/>
          <w:lang w:val="en-US" w:eastAsia="zh-CN"/>
        </w:rPr>
        <w:t xml:space="preserve">, TS 26.502.  </w:t>
      </w:r>
    </w:p>
    <w:p>
      <w:pPr>
        <w:rPr>
          <w:rFonts w:hint="default"/>
          <w:b/>
          <w:lang w:val="en-US" w:eastAsia="zh-CN"/>
        </w:rPr>
      </w:pPr>
      <w:r>
        <w:rPr>
          <w:rFonts w:hint="default"/>
          <w:b/>
          <w:bCs/>
          <w:lang w:val="en-US"/>
        </w:rPr>
        <w:t xml:space="preserve">Observation </w:t>
      </w:r>
      <w:r>
        <w:rPr>
          <w:rFonts w:hint="eastAsia"/>
          <w:b/>
          <w:bCs/>
          <w:lang w:val="en-US" w:eastAsia="zh-CN"/>
        </w:rPr>
        <w:t>2</w:t>
      </w:r>
      <w:r>
        <w:rPr>
          <w:rFonts w:hint="default"/>
          <w:b/>
          <w:bCs/>
          <w:lang w:val="en-US"/>
        </w:rPr>
        <w:t>:</w:t>
      </w:r>
      <w:r>
        <w:rPr>
          <w:b/>
          <w:lang w:eastAsia="zh-CN"/>
        </w:rPr>
        <w:t xml:space="preserve"> Both the UE AS layer and </w:t>
      </w:r>
      <w:r>
        <w:rPr>
          <w:rFonts w:hint="default"/>
          <w:b/>
          <w:lang w:val="en-US" w:eastAsia="zh-CN"/>
        </w:rPr>
        <w:t>A</w:t>
      </w:r>
      <w:r>
        <w:rPr>
          <w:b/>
          <w:lang w:eastAsia="zh-CN"/>
        </w:rPr>
        <w:t>pp layer kno</w:t>
      </w:r>
      <w:r>
        <w:rPr>
          <w:rFonts w:hint="eastAsia"/>
          <w:b/>
          <w:lang w:eastAsia="zh-CN"/>
        </w:rPr>
        <w:t>w</w:t>
      </w:r>
      <w:r>
        <w:rPr>
          <w:b/>
          <w:lang w:eastAsia="zh-CN"/>
        </w:rPr>
        <w:t xml:space="preserve"> the the MBS service type</w:t>
      </w:r>
      <w:r>
        <w:rPr>
          <w:rFonts w:hint="eastAsia"/>
          <w:b/>
          <w:lang w:val="en-US" w:eastAsia="zh-CN"/>
        </w:rPr>
        <w:t>(e.g., broadcast, multicast)</w:t>
      </w:r>
      <w:r>
        <w:rPr>
          <w:b/>
          <w:lang w:eastAsia="zh-CN"/>
        </w:rPr>
        <w:t xml:space="preserve"> of the ongoing MSB service</w:t>
      </w:r>
      <w:r>
        <w:rPr>
          <w:rFonts w:hint="default"/>
          <w:b/>
          <w:lang w:val="en-US" w:eastAsia="zh-CN"/>
        </w:rPr>
        <w:t>.</w:t>
      </w:r>
    </w:p>
    <w:p>
      <w:pPr>
        <w:numPr>
          <w:ilvl w:val="0"/>
          <w:numId w:val="0"/>
        </w:numPr>
        <w:rPr>
          <w:rFonts w:hint="eastAsia"/>
          <w:lang w:val="en-US" w:eastAsia="zh-CN"/>
        </w:rPr>
      </w:pPr>
      <w:r>
        <w:rPr>
          <w:rFonts w:hint="default"/>
          <w:lang w:val="en-US" w:eastAsia="zh-CN"/>
        </w:rPr>
        <w:t xml:space="preserve">The goal of our discussion is that, UE can trigger a QoE measurement for a specific MBS service type(e.g. broadcast, multicast) when such MBS session start. The gap between our goal and the above observations is that </w:t>
      </w:r>
      <w:r>
        <w:rPr>
          <w:rFonts w:hint="eastAsia"/>
          <w:lang w:val="en-US" w:eastAsia="zh-CN"/>
        </w:rPr>
        <w:t xml:space="preserve">if </w:t>
      </w:r>
      <w:r>
        <w:rPr>
          <w:rFonts w:hint="default"/>
          <w:lang w:val="en-US" w:eastAsia="zh-CN"/>
        </w:rPr>
        <w:t xml:space="preserve">a </w:t>
      </w:r>
      <w:r>
        <w:rPr>
          <w:rFonts w:hint="eastAsia"/>
          <w:lang w:val="en-US" w:eastAsia="zh-CN"/>
        </w:rPr>
        <w:t xml:space="preserve">UE </w:t>
      </w:r>
      <w:r>
        <w:rPr>
          <w:rFonts w:hint="default"/>
          <w:lang w:val="en-US" w:eastAsia="zh-CN"/>
        </w:rPr>
        <w:t xml:space="preserve">can </w:t>
      </w:r>
      <w:r>
        <w:rPr>
          <w:rFonts w:hint="eastAsia"/>
          <w:lang w:val="en-US" w:eastAsia="zh-CN"/>
        </w:rPr>
        <w:t xml:space="preserve">perform the QoE measurement when the specific MBS service type(e.g. broadcast, multicast) is used to transmit certain </w:t>
      </w:r>
      <w:r>
        <w:rPr>
          <w:rFonts w:hint="default"/>
          <w:lang w:val="en-US" w:eastAsia="zh-CN"/>
        </w:rPr>
        <w:t xml:space="preserve">UP </w:t>
      </w:r>
      <w:r>
        <w:rPr>
          <w:rFonts w:hint="eastAsia"/>
          <w:lang w:val="en-US" w:eastAsia="zh-CN"/>
        </w:rPr>
        <w:t xml:space="preserve">data(e.g. VR), UE shall </w:t>
      </w:r>
      <w:r>
        <w:rPr>
          <w:rFonts w:hint="default"/>
          <w:lang w:val="en-US" w:eastAsia="zh-CN"/>
        </w:rPr>
        <w:t>received such configuration</w:t>
      </w:r>
      <w:r>
        <w:rPr>
          <w:rFonts w:hint="eastAsia"/>
          <w:lang w:val="en-US" w:eastAsia="zh-CN"/>
        </w:rPr>
        <w:t>. Generally, 2 ways may be used to achieve such configuration: RRC or QoE configuration container</w:t>
      </w:r>
      <w:r>
        <w:rPr>
          <w:rFonts w:hint="default"/>
          <w:lang w:val="en-US" w:eastAsia="zh-CN"/>
        </w:rPr>
        <w:t>(e.g. XML file)</w:t>
      </w:r>
      <w:r>
        <w:rPr>
          <w:rFonts w:hint="eastAsia"/>
          <w:lang w:val="en-US" w:eastAsia="zh-CN"/>
        </w:rPr>
        <w:t>.</w:t>
      </w:r>
    </w:p>
    <w:p>
      <w:pPr>
        <w:numPr>
          <w:ilvl w:val="0"/>
          <w:numId w:val="0"/>
        </w:numPr>
        <w:rPr>
          <w:rFonts w:hint="eastAsia"/>
          <w:u w:val="single"/>
          <w:lang w:val="en-US" w:eastAsia="zh-CN"/>
        </w:rPr>
      </w:pPr>
      <w:r>
        <w:rPr>
          <w:rFonts w:hint="eastAsia"/>
          <w:u w:val="single"/>
          <w:lang w:val="en-US" w:eastAsia="zh-CN"/>
        </w:rPr>
        <w:t>Alt 1: QoE configuration container:</w:t>
      </w:r>
    </w:p>
    <w:p>
      <w:pPr>
        <w:numPr>
          <w:ilvl w:val="0"/>
          <w:numId w:val="0"/>
        </w:numPr>
        <w:rPr>
          <w:rFonts w:hint="eastAsia"/>
          <w:lang w:val="en-US" w:eastAsia="zh-CN"/>
        </w:rPr>
      </w:pPr>
      <w:r>
        <w:rPr>
          <w:rFonts w:hint="eastAsia"/>
          <w:lang w:val="en-US" w:eastAsia="zh-CN"/>
        </w:rPr>
        <w:t xml:space="preserve">At least, based on the current spec(e.g. TS 26.114 for MTSI , TS 26.247 for Streaming, TS 26.118 for VR) there is no info defined in the QoE configuration container </w:t>
      </w:r>
      <w:r>
        <w:rPr>
          <w:rFonts w:hint="default"/>
          <w:lang w:val="en-US" w:eastAsia="zh-CN"/>
        </w:rPr>
        <w:t xml:space="preserve">which is used to </w:t>
      </w:r>
      <w:r>
        <w:rPr>
          <w:rFonts w:hint="eastAsia"/>
          <w:lang w:val="en-US" w:eastAsia="zh-CN"/>
        </w:rPr>
        <w:t>further restrict that this QoE shall be triggered only if specific MBS service type is used.</w:t>
      </w:r>
    </w:p>
    <w:p>
      <w:pPr>
        <w:numPr>
          <w:ilvl w:val="0"/>
          <w:numId w:val="0"/>
        </w:numPr>
        <w:rPr>
          <w:rFonts w:hint="eastAsia"/>
          <w:u w:val="single"/>
          <w:lang w:val="en-US" w:eastAsia="zh-CN"/>
        </w:rPr>
      </w:pPr>
      <w:r>
        <w:rPr>
          <w:rFonts w:hint="eastAsia"/>
          <w:u w:val="single"/>
          <w:lang w:val="en-US" w:eastAsia="zh-CN"/>
        </w:rPr>
        <w:t>Alt 2: QoE configuration in RRC:</w:t>
      </w:r>
    </w:p>
    <w:p>
      <w:pPr>
        <w:numPr>
          <w:ilvl w:val="0"/>
          <w:numId w:val="0"/>
        </w:numPr>
        <w:rPr>
          <w:rFonts w:hint="eastAsia"/>
          <w:i w:val="0"/>
          <w:iCs w:val="0"/>
          <w:lang w:val="en-US" w:eastAsia="zh-CN"/>
        </w:rPr>
      </w:pPr>
      <w:r>
        <w:rPr>
          <w:rFonts w:hint="eastAsia"/>
          <w:lang w:val="en-US" w:eastAsia="zh-CN"/>
        </w:rPr>
        <w:t xml:space="preserve">The current IEs designed for MBS QoE in TS 38.331 is </w:t>
      </w:r>
      <w:r>
        <w:rPr>
          <w:rFonts w:hint="default"/>
          <w:lang w:val="en-US" w:eastAsia="zh-CN"/>
        </w:rPr>
        <w:t xml:space="preserve">yellow highlighted </w:t>
      </w:r>
      <w:r>
        <w:rPr>
          <w:rFonts w:hint="eastAsia"/>
          <w:lang w:val="en-US" w:eastAsia="zh-CN"/>
        </w:rPr>
        <w:t xml:space="preserve">in annex. It is clear that the new introduced IE, </w:t>
      </w:r>
      <w:r>
        <w:rPr>
          <w:rFonts w:hint="eastAsia"/>
          <w:i/>
          <w:iCs/>
          <w:lang w:val="en-US" w:eastAsia="zh-CN"/>
        </w:rPr>
        <w:t>AppLayerIdleInactiveConfig</w:t>
      </w:r>
      <w:r>
        <w:rPr>
          <w:rFonts w:hint="eastAsia"/>
          <w:lang w:val="en-US" w:eastAsia="zh-CN"/>
        </w:rPr>
        <w:t xml:space="preserve">, can only indicate whether a QoE can be performed in RRC_INACTIVE and RRC_IDLE. </w:t>
      </w:r>
      <w:r>
        <w:rPr>
          <w:rFonts w:hint="default"/>
          <w:lang w:val="en-US" w:eastAsia="zh-CN"/>
        </w:rPr>
        <w:t xml:space="preserve">Combined with </w:t>
      </w:r>
      <w:r>
        <w:rPr>
          <w:rFonts w:hint="eastAsia"/>
          <w:lang w:val="en-US" w:eastAsia="zh-CN"/>
        </w:rPr>
        <w:t xml:space="preserve">the QoE configuration defined in Rel-17, this may indicate that this QoE measurement can be performed in RRC_CONNECTED, RRC_INACTIVE, and RRC_IDLE. Considering at current stage, only QoE for broadcast service can be performed regardless of RRC status, when UE receives the </w:t>
      </w:r>
      <w:r>
        <w:rPr>
          <w:rFonts w:hint="eastAsia"/>
          <w:i/>
          <w:iCs/>
          <w:lang w:val="en-US" w:eastAsia="zh-CN"/>
        </w:rPr>
        <w:t xml:space="preserve">AppLayerIdleInactiveConfig, </w:t>
      </w:r>
      <w:r>
        <w:rPr>
          <w:rFonts w:hint="eastAsia"/>
          <w:i w:val="0"/>
          <w:iCs w:val="0"/>
          <w:lang w:val="en-US" w:eastAsia="zh-CN"/>
        </w:rPr>
        <w:t xml:space="preserve">UE </w:t>
      </w:r>
      <w:r>
        <w:rPr>
          <w:rFonts w:hint="default"/>
          <w:i w:val="0"/>
          <w:iCs w:val="0"/>
          <w:lang w:val="en-US" w:eastAsia="zh-CN"/>
        </w:rPr>
        <w:t xml:space="preserve">can easily deduce </w:t>
      </w:r>
      <w:r>
        <w:rPr>
          <w:rFonts w:hint="eastAsia"/>
          <w:i w:val="0"/>
          <w:iCs w:val="0"/>
          <w:lang w:val="en-US" w:eastAsia="zh-CN"/>
        </w:rPr>
        <w:t xml:space="preserve">that this QoE configuration is for broadcast service.  </w:t>
      </w:r>
    </w:p>
    <w:p>
      <w:pPr>
        <w:numPr>
          <w:ilvl w:val="0"/>
          <w:numId w:val="0"/>
        </w:numPr>
        <w:rPr>
          <w:rFonts w:hint="default"/>
          <w:b/>
          <w:bCs/>
          <w:i w:val="0"/>
          <w:iCs w:val="0"/>
          <w:lang w:val="en-US" w:eastAsia="zh-CN"/>
        </w:rPr>
      </w:pPr>
      <w:bookmarkStart w:id="16" w:name="OLE_LINK6"/>
      <w:r>
        <w:rPr>
          <w:rFonts w:hint="eastAsia"/>
          <w:b/>
          <w:bCs/>
          <w:i w:val="0"/>
          <w:iCs w:val="0"/>
          <w:lang w:val="en-US" w:eastAsia="zh-CN"/>
        </w:rPr>
        <w:t xml:space="preserve">Observation 3: Based on the current specification, UE may perform QoE for broadcast service if </w:t>
      </w:r>
      <w:r>
        <w:rPr>
          <w:rFonts w:hint="default"/>
          <w:b/>
          <w:bCs/>
          <w:i w:val="0"/>
          <w:iCs w:val="0"/>
          <w:lang w:val="en-US" w:eastAsia="zh-CN"/>
        </w:rPr>
        <w:t>the received QoE configuration contains</w:t>
      </w:r>
      <w:r>
        <w:rPr>
          <w:rFonts w:hint="eastAsia"/>
          <w:b/>
          <w:bCs/>
          <w:i w:val="0"/>
          <w:iCs w:val="0"/>
          <w:lang w:val="en-US" w:eastAsia="zh-CN"/>
        </w:rPr>
        <w:t xml:space="preserve"> </w:t>
      </w:r>
      <w:r>
        <w:rPr>
          <w:rFonts w:hint="eastAsia"/>
          <w:b/>
          <w:bCs/>
          <w:i/>
          <w:iCs/>
          <w:lang w:val="en-US" w:eastAsia="zh-CN"/>
        </w:rPr>
        <w:t xml:space="preserve">AppLayerIdleInactiveConfig </w:t>
      </w:r>
      <w:r>
        <w:rPr>
          <w:rFonts w:hint="eastAsia"/>
          <w:b/>
          <w:bCs/>
          <w:i w:val="0"/>
          <w:iCs w:val="0"/>
          <w:lang w:val="en-US" w:eastAsia="zh-CN"/>
        </w:rPr>
        <w:t>IE.</w:t>
      </w:r>
    </w:p>
    <w:bookmarkEnd w:id="16"/>
    <w:p>
      <w:pPr>
        <w:numPr>
          <w:ilvl w:val="0"/>
          <w:numId w:val="0"/>
        </w:numPr>
        <w:rPr>
          <w:rFonts w:hint="default"/>
          <w:i w:val="0"/>
          <w:iCs w:val="0"/>
          <w:lang w:val="en-US" w:eastAsia="zh-CN"/>
        </w:rPr>
      </w:pPr>
      <w:r>
        <w:rPr>
          <w:rFonts w:hint="default"/>
          <w:i w:val="0"/>
          <w:iCs w:val="0"/>
          <w:lang w:val="en-US" w:eastAsia="zh-CN"/>
        </w:rPr>
        <w:t>Hence, b</w:t>
      </w:r>
      <w:r>
        <w:rPr>
          <w:rFonts w:hint="eastAsia"/>
          <w:i w:val="0"/>
          <w:iCs w:val="0"/>
          <w:lang w:val="en-US" w:eastAsia="zh-CN"/>
        </w:rPr>
        <w:t xml:space="preserve">ased on our understanding, </w:t>
      </w:r>
      <w:r>
        <w:rPr>
          <w:rFonts w:hint="default"/>
          <w:i w:val="0"/>
          <w:iCs w:val="0"/>
          <w:lang w:val="en-US" w:eastAsia="zh-CN"/>
        </w:rPr>
        <w:t xml:space="preserve">the current mechanism can not let UE know </w:t>
      </w:r>
      <w:r>
        <w:rPr>
          <w:rFonts w:hint="eastAsia"/>
          <w:i w:val="0"/>
          <w:iCs w:val="0"/>
          <w:lang w:val="en-US" w:eastAsia="zh-CN"/>
        </w:rPr>
        <w:t>whether a QoE configuration is a Rel-17 QoE configuration or QoE configuration for multicast only</w:t>
      </w:r>
      <w:r>
        <w:rPr>
          <w:rFonts w:hint="default"/>
          <w:i w:val="0"/>
          <w:iCs w:val="0"/>
          <w:lang w:val="en-US" w:eastAsia="zh-CN"/>
        </w:rPr>
        <w:t>.</w:t>
      </w:r>
    </w:p>
    <w:p>
      <w:pPr>
        <w:numPr>
          <w:ilvl w:val="0"/>
          <w:numId w:val="0"/>
        </w:numPr>
        <w:rPr>
          <w:rFonts w:hint="eastAsia"/>
          <w:i w:val="0"/>
          <w:iCs w:val="0"/>
          <w:lang w:val="en-US" w:eastAsia="zh-CN"/>
        </w:rPr>
      </w:pPr>
    </w:p>
    <w:p>
      <w:pPr>
        <w:numPr>
          <w:ilvl w:val="0"/>
          <w:numId w:val="0"/>
        </w:numPr>
        <w:rPr>
          <w:rFonts w:hint="eastAsia"/>
          <w:i w:val="0"/>
          <w:iCs w:val="0"/>
          <w:lang w:val="en-US" w:eastAsia="zh-CN"/>
        </w:rPr>
      </w:pPr>
      <w:r>
        <w:rPr>
          <w:rFonts w:hint="eastAsia"/>
          <w:i w:val="0"/>
          <w:iCs w:val="0"/>
          <w:lang w:val="en-US" w:eastAsia="zh-CN"/>
        </w:rPr>
        <w:t xml:space="preserve">To have a short summary and to let all interested companies in the same page, we may use the following </w:t>
      </w:r>
      <w:r>
        <w:rPr>
          <w:rFonts w:hint="default"/>
          <w:i w:val="0"/>
          <w:iCs w:val="0"/>
          <w:lang w:val="en-US" w:eastAsia="zh-CN"/>
        </w:rPr>
        <w:t xml:space="preserve">naive </w:t>
      </w:r>
      <w:r>
        <w:rPr>
          <w:rFonts w:hint="eastAsia"/>
          <w:i w:val="0"/>
          <w:iCs w:val="0"/>
          <w:lang w:val="en-US" w:eastAsia="zh-CN"/>
        </w:rPr>
        <w:t>example to discuss this issue. How does each entities(e.g.,OAM/CN, gNB, UE) distinguish the following 3 QoE configurations:</w:t>
      </w:r>
    </w:p>
    <w:p>
      <w:pPr>
        <w:numPr>
          <w:ilvl w:val="0"/>
          <w:numId w:val="3"/>
        </w:numPr>
        <w:ind w:left="420" w:leftChars="0" w:hanging="420" w:firstLineChars="0"/>
        <w:rPr>
          <w:rFonts w:hint="eastAsia"/>
          <w:i w:val="0"/>
          <w:iCs w:val="0"/>
          <w:lang w:val="en-US" w:eastAsia="zh-CN"/>
        </w:rPr>
      </w:pPr>
      <w:r>
        <w:rPr>
          <w:rFonts w:hint="eastAsia"/>
          <w:i w:val="0"/>
          <w:iCs w:val="0"/>
          <w:lang w:val="en-US" w:eastAsia="zh-CN"/>
        </w:rPr>
        <w:t>QoE configuration 1</w:t>
      </w:r>
      <w:r>
        <w:rPr>
          <w:rFonts w:hint="default"/>
          <w:i w:val="0"/>
          <w:iCs w:val="0"/>
          <w:lang w:val="en-US" w:eastAsia="zh-CN"/>
        </w:rPr>
        <w:t xml:space="preserve"> </w:t>
      </w:r>
      <w:r>
        <w:rPr>
          <w:rFonts w:hint="eastAsia"/>
          <w:i w:val="0"/>
          <w:iCs w:val="0"/>
          <w:lang w:val="en-US" w:eastAsia="zh-CN"/>
        </w:rPr>
        <w:t>which contains: QoE reference 1, service type A</w:t>
      </w:r>
      <w:r>
        <w:rPr>
          <w:rFonts w:hint="default"/>
          <w:i w:val="0"/>
          <w:iCs w:val="0"/>
          <w:lang w:val="en-US" w:eastAsia="zh-CN"/>
        </w:rPr>
        <w:t>, no MBS related restriction,</w:t>
      </w:r>
    </w:p>
    <w:p>
      <w:pPr>
        <w:numPr>
          <w:ilvl w:val="0"/>
          <w:numId w:val="3"/>
        </w:numPr>
        <w:ind w:left="420" w:leftChars="0" w:hanging="420" w:firstLineChars="0"/>
        <w:rPr>
          <w:rFonts w:hint="eastAsia"/>
          <w:i w:val="0"/>
          <w:iCs w:val="0"/>
          <w:lang w:val="en-US" w:eastAsia="zh-CN"/>
        </w:rPr>
      </w:pPr>
      <w:r>
        <w:rPr>
          <w:rFonts w:hint="eastAsia"/>
          <w:i w:val="0"/>
          <w:iCs w:val="0"/>
          <w:lang w:val="en-US" w:eastAsia="zh-CN"/>
        </w:rPr>
        <w:t>QoE configuration 2 which contains: QoE reference 2, service type A, for broadcast only,</w:t>
      </w:r>
    </w:p>
    <w:p>
      <w:pPr>
        <w:numPr>
          <w:ilvl w:val="0"/>
          <w:numId w:val="3"/>
        </w:numPr>
        <w:ind w:left="420" w:leftChars="0" w:hanging="420" w:firstLineChars="0"/>
        <w:rPr>
          <w:rFonts w:hint="default"/>
          <w:i w:val="0"/>
          <w:iCs w:val="0"/>
          <w:lang w:val="en-US" w:eastAsia="zh-CN"/>
        </w:rPr>
      </w:pPr>
      <w:r>
        <w:rPr>
          <w:rFonts w:hint="eastAsia"/>
          <w:i w:val="0"/>
          <w:iCs w:val="0"/>
          <w:lang w:val="en-US" w:eastAsia="zh-CN"/>
        </w:rPr>
        <w:t>QoE configuration 3 which contains: QoE reference 3, service type A, for multicast only</w:t>
      </w:r>
      <w:r>
        <w:rPr>
          <w:rFonts w:hint="default"/>
          <w:i w:val="0"/>
          <w:iCs w:val="0"/>
          <w:lang w:val="en-US" w:eastAsia="zh-CN"/>
        </w:rPr>
        <w:t>.</w:t>
      </w:r>
    </w:p>
    <w:p>
      <w:pPr>
        <w:rPr>
          <w:rFonts w:hint="default"/>
          <w:lang w:val="en-US" w:eastAsia="zh-CN"/>
        </w:rPr>
      </w:pPr>
      <w:r>
        <w:rPr>
          <w:rFonts w:hint="eastAsia"/>
          <w:lang w:val="en-US" w:eastAsia="zh-CN"/>
        </w:rPr>
        <w:t xml:space="preserve">Based on </w:t>
      </w:r>
      <w:r>
        <w:rPr>
          <w:rFonts w:hint="default"/>
          <w:lang w:val="en-US" w:eastAsia="zh-CN"/>
        </w:rPr>
        <w:t>our above explanation</w:t>
      </w:r>
      <w:r>
        <w:rPr>
          <w:rFonts w:hint="eastAsia"/>
          <w:lang w:val="en-US" w:eastAsia="zh-CN"/>
        </w:rPr>
        <w:t xml:space="preserve">, </w:t>
      </w:r>
      <w:r>
        <w:rPr>
          <w:rFonts w:hint="default"/>
          <w:lang w:val="en-US" w:eastAsia="zh-CN"/>
        </w:rPr>
        <w:t xml:space="preserve">each entities can distinguish the difference between above 3 configurations. </w:t>
      </w:r>
    </w:p>
    <w:p>
      <w:pPr>
        <w:numPr>
          <w:ilvl w:val="0"/>
          <w:numId w:val="4"/>
        </w:numPr>
        <w:ind w:left="420" w:leftChars="0" w:hanging="420" w:firstLineChars="0"/>
        <w:rPr>
          <w:rFonts w:hint="eastAsia"/>
          <w:lang w:val="en-US" w:eastAsia="zh-CN"/>
        </w:rPr>
      </w:pPr>
      <w:r>
        <w:rPr>
          <w:rFonts w:hint="eastAsia"/>
          <w:lang w:val="en-US" w:eastAsia="zh-CN"/>
        </w:rPr>
        <w:t xml:space="preserve">OAM/CN can distinguish the difference of the these 3 QoE configurations by using </w:t>
      </w:r>
      <w:r>
        <w:rPr>
          <w:rFonts w:hint="eastAsia"/>
          <w:i/>
          <w:iCs/>
          <w:lang w:val="en-US" w:eastAsia="zh-CN"/>
        </w:rPr>
        <w:t xml:space="preserve">mBSCommunicationServiceType </w:t>
      </w:r>
      <w:r>
        <w:rPr>
          <w:rFonts w:hint="eastAsia"/>
          <w:lang w:val="en-US" w:eastAsia="zh-CN"/>
        </w:rPr>
        <w:t xml:space="preserve">IE which is defined in </w:t>
      </w:r>
      <w:r>
        <w:rPr>
          <w:rFonts w:hint="eastAsia"/>
          <w:i/>
          <w:iCs/>
          <w:lang w:val="en-US" w:eastAsia="zh-CN"/>
        </w:rPr>
        <w:t xml:space="preserve">QMCJob </w:t>
      </w:r>
      <w:r>
        <w:rPr>
          <w:rFonts w:hint="eastAsia"/>
          <w:lang w:val="en-US" w:eastAsia="zh-CN"/>
        </w:rPr>
        <w:t>IE.</w:t>
      </w:r>
    </w:p>
    <w:p>
      <w:pPr>
        <w:numPr>
          <w:ilvl w:val="1"/>
          <w:numId w:val="4"/>
        </w:numPr>
        <w:ind w:left="840" w:leftChars="0" w:hanging="420" w:firstLineChars="0"/>
        <w:rPr>
          <w:rFonts w:hint="eastAsia"/>
          <w:lang w:val="en-US" w:eastAsia="zh-CN"/>
        </w:rPr>
      </w:pPr>
      <w:r>
        <w:rPr>
          <w:rFonts w:hint="default"/>
          <w:lang w:val="en-US" w:eastAsia="zh-CN"/>
        </w:rPr>
        <w:t xml:space="preserve">QoE configuration 1: no </w:t>
      </w:r>
      <w:r>
        <w:rPr>
          <w:rFonts w:hint="eastAsia"/>
          <w:i/>
          <w:iCs/>
          <w:lang w:val="en-US" w:eastAsia="zh-CN"/>
        </w:rPr>
        <w:t xml:space="preserve">mBSCommunicationServiceType </w:t>
      </w:r>
      <w:r>
        <w:rPr>
          <w:rFonts w:hint="default"/>
          <w:i w:val="0"/>
          <w:iCs w:val="0"/>
          <w:lang w:val="en-US" w:eastAsia="zh-CN"/>
        </w:rPr>
        <w:t>IE.</w:t>
      </w:r>
    </w:p>
    <w:p>
      <w:pPr>
        <w:numPr>
          <w:ilvl w:val="1"/>
          <w:numId w:val="4"/>
        </w:numPr>
        <w:ind w:left="840" w:leftChars="0" w:hanging="420" w:firstLineChars="0"/>
        <w:rPr>
          <w:rFonts w:hint="eastAsia"/>
          <w:lang w:val="en-US" w:eastAsia="zh-CN"/>
        </w:rPr>
      </w:pPr>
      <w:r>
        <w:rPr>
          <w:rFonts w:hint="default"/>
          <w:i/>
          <w:iCs/>
          <w:lang w:val="en-US" w:eastAsia="zh-CN"/>
        </w:rPr>
        <w:t xml:space="preserve">QoE configuration 2: </w:t>
      </w:r>
      <w:r>
        <w:rPr>
          <w:rFonts w:hint="eastAsia"/>
          <w:i/>
          <w:iCs/>
          <w:lang w:val="en-US" w:eastAsia="zh-CN"/>
        </w:rPr>
        <w:t xml:space="preserve">mBSCommunicationServiceType </w:t>
      </w:r>
      <w:r>
        <w:rPr>
          <w:rFonts w:hint="default"/>
          <w:i w:val="0"/>
          <w:iCs w:val="0"/>
          <w:lang w:val="en-US" w:eastAsia="zh-CN"/>
        </w:rPr>
        <w:t>IE with the value “broadcast”.</w:t>
      </w:r>
    </w:p>
    <w:p>
      <w:pPr>
        <w:numPr>
          <w:ilvl w:val="1"/>
          <w:numId w:val="4"/>
        </w:numPr>
        <w:ind w:left="840" w:leftChars="0" w:hanging="420" w:firstLineChars="0"/>
        <w:rPr>
          <w:rFonts w:hint="eastAsia"/>
          <w:lang w:val="en-US" w:eastAsia="zh-CN"/>
        </w:rPr>
      </w:pPr>
      <w:r>
        <w:rPr>
          <w:rFonts w:hint="default"/>
          <w:i w:val="0"/>
          <w:iCs w:val="0"/>
          <w:lang w:val="en-US" w:eastAsia="zh-CN"/>
        </w:rPr>
        <w:t xml:space="preserve">QoE configuration 3: </w:t>
      </w:r>
      <w:r>
        <w:rPr>
          <w:rFonts w:hint="eastAsia"/>
          <w:i/>
          <w:iCs/>
          <w:lang w:val="en-US" w:eastAsia="zh-CN"/>
        </w:rPr>
        <w:t>mBSCommunicationServiceType</w:t>
      </w:r>
      <w:r>
        <w:rPr>
          <w:rFonts w:hint="eastAsia"/>
          <w:i w:val="0"/>
          <w:iCs w:val="0"/>
          <w:lang w:val="en-US" w:eastAsia="zh-CN"/>
        </w:rPr>
        <w:t xml:space="preserve"> </w:t>
      </w:r>
      <w:r>
        <w:rPr>
          <w:rFonts w:hint="default"/>
          <w:i w:val="0"/>
          <w:iCs w:val="0"/>
          <w:lang w:val="en-US" w:eastAsia="zh-CN"/>
        </w:rPr>
        <w:t>IE with the value  “multicast”.</w:t>
      </w:r>
    </w:p>
    <w:p>
      <w:pPr>
        <w:numPr>
          <w:ilvl w:val="0"/>
          <w:numId w:val="4"/>
        </w:numPr>
        <w:ind w:left="420" w:leftChars="0" w:hanging="420" w:firstLineChars="0"/>
        <w:rPr>
          <w:rFonts w:hint="eastAsia" w:eastAsia="宋体" w:cs="Arial"/>
          <w:szCs w:val="18"/>
          <w:lang w:val="en-US" w:eastAsia="zh-CN"/>
        </w:rPr>
      </w:pPr>
      <w:r>
        <w:rPr>
          <w:rFonts w:hint="eastAsia"/>
          <w:lang w:val="en-US" w:eastAsia="zh-CN"/>
        </w:rPr>
        <w:t xml:space="preserve">gNB can distinguish the difference between these 3 QoE configurations by checking </w:t>
      </w:r>
      <w:r>
        <w:rPr>
          <w:rFonts w:eastAsia="宋体" w:cs="Arial"/>
          <w:szCs w:val="18"/>
          <w:lang w:val="en-US"/>
        </w:rPr>
        <w:t>MBS Communication Service Type</w:t>
      </w:r>
      <w:r>
        <w:rPr>
          <w:rFonts w:hint="eastAsia" w:eastAsia="宋体" w:cs="Arial"/>
          <w:szCs w:val="18"/>
          <w:lang w:val="en-US" w:eastAsia="zh-CN"/>
        </w:rPr>
        <w:t xml:space="preserve"> IE.</w:t>
      </w:r>
    </w:p>
    <w:p>
      <w:pPr>
        <w:numPr>
          <w:ilvl w:val="1"/>
          <w:numId w:val="4"/>
        </w:numPr>
        <w:ind w:left="840" w:leftChars="0" w:hanging="420" w:firstLineChars="0"/>
        <w:rPr>
          <w:rFonts w:hint="eastAsia" w:eastAsia="宋体" w:cs="Arial"/>
          <w:szCs w:val="18"/>
          <w:lang w:val="en-US" w:eastAsia="zh-CN"/>
        </w:rPr>
      </w:pPr>
      <w:r>
        <w:rPr>
          <w:rFonts w:hint="default" w:eastAsia="宋体" w:cs="Arial"/>
          <w:szCs w:val="18"/>
          <w:lang w:val="en-US" w:eastAsia="zh-CN"/>
        </w:rPr>
        <w:t xml:space="preserve">QoE configuration 1: no </w:t>
      </w:r>
      <w:r>
        <w:rPr>
          <w:rFonts w:eastAsia="宋体" w:cs="Arial"/>
          <w:i/>
          <w:iCs/>
          <w:szCs w:val="18"/>
          <w:lang w:val="en-US"/>
        </w:rPr>
        <w:t>MBS Communication Service Type</w:t>
      </w:r>
      <w:r>
        <w:rPr>
          <w:rFonts w:hint="default" w:eastAsia="宋体" w:cs="Arial"/>
          <w:szCs w:val="18"/>
          <w:lang w:val="en-US"/>
        </w:rPr>
        <w:t xml:space="preserve"> IE.</w:t>
      </w:r>
    </w:p>
    <w:p>
      <w:pPr>
        <w:numPr>
          <w:ilvl w:val="1"/>
          <w:numId w:val="4"/>
        </w:numPr>
        <w:ind w:left="840" w:leftChars="0" w:hanging="420" w:firstLineChars="0"/>
        <w:rPr>
          <w:rFonts w:hint="eastAsia" w:eastAsia="宋体" w:cs="Arial"/>
          <w:szCs w:val="18"/>
          <w:lang w:val="en-US" w:eastAsia="zh-CN"/>
        </w:rPr>
      </w:pPr>
      <w:r>
        <w:rPr>
          <w:rFonts w:hint="default" w:eastAsia="宋体" w:cs="Arial"/>
          <w:szCs w:val="18"/>
          <w:lang w:val="en-US" w:eastAsia="zh-CN"/>
        </w:rPr>
        <w:t xml:space="preserve">QoE configuration 2: </w:t>
      </w:r>
      <w:r>
        <w:rPr>
          <w:rFonts w:eastAsia="宋体" w:cs="Arial"/>
          <w:i/>
          <w:iCs/>
          <w:szCs w:val="18"/>
          <w:lang w:val="en-US"/>
        </w:rPr>
        <w:t>MBS Communication Service Type</w:t>
      </w:r>
      <w:r>
        <w:rPr>
          <w:rFonts w:hint="default" w:eastAsia="宋体" w:cs="Arial"/>
          <w:szCs w:val="18"/>
          <w:lang w:val="en-US"/>
        </w:rPr>
        <w:t xml:space="preserve"> IE with the codepoint “</w:t>
      </w:r>
      <w:r>
        <w:rPr>
          <w:rFonts w:eastAsia="宋体"/>
          <w:lang w:eastAsia="zh-CN"/>
        </w:rPr>
        <w:t>broadcast</w:t>
      </w:r>
      <w:r>
        <w:rPr>
          <w:rFonts w:hint="default" w:eastAsia="宋体" w:cs="Arial"/>
          <w:szCs w:val="18"/>
          <w:lang w:val="en-US"/>
        </w:rPr>
        <w:t>”.</w:t>
      </w:r>
    </w:p>
    <w:p>
      <w:pPr>
        <w:numPr>
          <w:ilvl w:val="1"/>
          <w:numId w:val="4"/>
        </w:numPr>
        <w:ind w:left="840" w:leftChars="0" w:hanging="420" w:firstLineChars="0"/>
        <w:rPr>
          <w:rFonts w:hint="eastAsia" w:eastAsia="宋体" w:cs="Arial"/>
          <w:szCs w:val="18"/>
          <w:lang w:val="en-US" w:eastAsia="zh-CN"/>
        </w:rPr>
      </w:pPr>
      <w:r>
        <w:rPr>
          <w:rFonts w:hint="default" w:eastAsia="宋体" w:cs="Arial"/>
          <w:szCs w:val="18"/>
          <w:lang w:val="en-US" w:eastAsia="zh-CN"/>
        </w:rPr>
        <w:t xml:space="preserve">QoE configuration 3: </w:t>
      </w:r>
      <w:r>
        <w:rPr>
          <w:rFonts w:eastAsia="宋体" w:cs="Arial"/>
          <w:i/>
          <w:iCs/>
          <w:szCs w:val="18"/>
          <w:lang w:val="en-US"/>
        </w:rPr>
        <w:t>MBS Communication Service Type</w:t>
      </w:r>
      <w:r>
        <w:rPr>
          <w:rFonts w:hint="default" w:eastAsia="宋体" w:cs="Arial"/>
          <w:szCs w:val="18"/>
          <w:lang w:val="en-US"/>
        </w:rPr>
        <w:t xml:space="preserve"> IE with the codepoint “</w:t>
      </w:r>
      <w:r>
        <w:rPr>
          <w:rFonts w:hint="default"/>
          <w:i w:val="0"/>
          <w:iCs w:val="0"/>
          <w:lang w:val="en-US" w:eastAsia="zh-CN"/>
        </w:rPr>
        <w:t>multicast</w:t>
      </w:r>
      <w:r>
        <w:rPr>
          <w:rFonts w:hint="default" w:eastAsia="宋体" w:cs="Arial"/>
          <w:szCs w:val="18"/>
          <w:lang w:val="en-US"/>
        </w:rPr>
        <w:t>”.</w:t>
      </w:r>
    </w:p>
    <w:p>
      <w:pPr>
        <w:numPr>
          <w:ilvl w:val="0"/>
          <w:numId w:val="4"/>
        </w:numPr>
        <w:ind w:left="420" w:leftChars="0" w:hanging="420" w:firstLineChars="0"/>
        <w:rPr>
          <w:rFonts w:hint="default" w:eastAsia="宋体" w:cs="Arial"/>
          <w:b w:val="0"/>
          <w:bCs w:val="0"/>
          <w:i w:val="0"/>
          <w:iCs w:val="0"/>
          <w:szCs w:val="18"/>
          <w:lang w:val="en-US" w:eastAsia="zh-CN"/>
        </w:rPr>
      </w:pPr>
      <w:r>
        <w:rPr>
          <w:rFonts w:hint="eastAsia" w:eastAsia="宋体" w:cs="Arial"/>
          <w:szCs w:val="18"/>
          <w:lang w:val="en-US" w:eastAsia="zh-CN"/>
        </w:rPr>
        <w:t xml:space="preserve">UE can only distinguish the difference between QoE </w:t>
      </w:r>
      <w:r>
        <w:rPr>
          <w:rFonts w:hint="eastAsia"/>
          <w:i w:val="0"/>
          <w:iCs w:val="0"/>
          <w:lang w:val="en-US" w:eastAsia="zh-CN"/>
        </w:rPr>
        <w:t xml:space="preserve">configuration </w:t>
      </w:r>
      <w:r>
        <w:rPr>
          <w:rFonts w:hint="eastAsia" w:eastAsia="宋体" w:cs="Arial"/>
          <w:szCs w:val="18"/>
          <w:lang w:val="en-US" w:eastAsia="zh-CN"/>
        </w:rPr>
        <w:t>1 and 2 by u</w:t>
      </w:r>
      <w:r>
        <w:rPr>
          <w:rFonts w:hint="eastAsia" w:eastAsia="宋体" w:cs="Arial"/>
          <w:b w:val="0"/>
          <w:bCs w:val="0"/>
          <w:szCs w:val="18"/>
          <w:lang w:val="en-US" w:eastAsia="zh-CN"/>
        </w:rPr>
        <w:t xml:space="preserve">sing </w:t>
      </w:r>
      <w:r>
        <w:rPr>
          <w:rFonts w:hint="eastAsia"/>
          <w:b w:val="0"/>
          <w:bCs w:val="0"/>
          <w:i/>
          <w:iCs/>
          <w:lang w:val="en-US" w:eastAsia="zh-CN"/>
        </w:rPr>
        <w:t xml:space="preserve">AppLayerIdleInactiveConfig </w:t>
      </w:r>
      <w:r>
        <w:rPr>
          <w:rFonts w:hint="eastAsia"/>
          <w:b w:val="0"/>
          <w:bCs w:val="0"/>
          <w:i w:val="0"/>
          <w:iCs w:val="0"/>
          <w:lang w:val="en-US" w:eastAsia="zh-CN"/>
        </w:rPr>
        <w:t>IE.</w:t>
      </w:r>
    </w:p>
    <w:p>
      <w:pPr>
        <w:numPr>
          <w:ilvl w:val="1"/>
          <w:numId w:val="4"/>
        </w:numPr>
        <w:ind w:left="840" w:leftChars="0" w:hanging="420" w:firstLineChars="0"/>
        <w:rPr>
          <w:rFonts w:hint="eastAsia" w:eastAsia="宋体" w:cs="Arial"/>
          <w:szCs w:val="18"/>
          <w:lang w:val="en-US" w:eastAsia="zh-CN"/>
        </w:rPr>
      </w:pPr>
      <w:r>
        <w:rPr>
          <w:rFonts w:hint="default" w:eastAsia="宋体" w:cs="Arial"/>
          <w:szCs w:val="18"/>
          <w:lang w:val="en-US" w:eastAsia="zh-CN"/>
        </w:rPr>
        <w:t xml:space="preserve">QoE configuration 1: no </w:t>
      </w:r>
      <w:r>
        <w:rPr>
          <w:rFonts w:hint="eastAsia"/>
          <w:b w:val="0"/>
          <w:bCs w:val="0"/>
          <w:i/>
          <w:iCs/>
          <w:lang w:val="en-US" w:eastAsia="zh-CN"/>
        </w:rPr>
        <w:t>AppLayerIdleInactiveConfig</w:t>
      </w:r>
      <w:r>
        <w:rPr>
          <w:rFonts w:hint="default" w:eastAsia="宋体" w:cs="Arial"/>
          <w:szCs w:val="18"/>
          <w:lang w:val="en-US"/>
        </w:rPr>
        <w:t xml:space="preserve"> IE.</w:t>
      </w:r>
    </w:p>
    <w:p>
      <w:pPr>
        <w:numPr>
          <w:ilvl w:val="1"/>
          <w:numId w:val="4"/>
        </w:numPr>
        <w:ind w:left="840" w:leftChars="0" w:hanging="420" w:firstLineChars="0"/>
        <w:rPr>
          <w:rFonts w:hint="eastAsia" w:eastAsia="宋体" w:cs="Arial"/>
          <w:i w:val="0"/>
          <w:iCs w:val="0"/>
          <w:szCs w:val="18"/>
          <w:lang w:val="en-US" w:eastAsia="zh-CN"/>
        </w:rPr>
      </w:pPr>
      <w:r>
        <w:rPr>
          <w:rFonts w:hint="default" w:eastAsia="宋体" w:cs="Arial"/>
          <w:szCs w:val="18"/>
          <w:lang w:val="en-US" w:eastAsia="zh-CN"/>
        </w:rPr>
        <w:t xml:space="preserve">QoE configuration 2: has </w:t>
      </w:r>
      <w:r>
        <w:rPr>
          <w:rFonts w:hint="eastAsia"/>
          <w:b w:val="0"/>
          <w:bCs w:val="0"/>
          <w:i/>
          <w:iCs/>
          <w:lang w:val="en-US" w:eastAsia="zh-CN"/>
        </w:rPr>
        <w:t>AppLayerIdleInactiveConfig</w:t>
      </w:r>
      <w:r>
        <w:rPr>
          <w:rFonts w:hint="eastAsia"/>
          <w:b w:val="0"/>
          <w:bCs w:val="0"/>
          <w:i w:val="0"/>
          <w:iCs w:val="0"/>
          <w:lang w:val="en-US" w:eastAsia="zh-CN"/>
        </w:rPr>
        <w:t xml:space="preserve"> </w:t>
      </w:r>
      <w:r>
        <w:rPr>
          <w:rFonts w:hint="default"/>
          <w:b w:val="0"/>
          <w:bCs w:val="0"/>
          <w:i w:val="0"/>
          <w:iCs w:val="0"/>
          <w:lang w:val="en-US" w:eastAsia="zh-CN"/>
        </w:rPr>
        <w:t>IE</w:t>
      </w:r>
      <w:r>
        <w:rPr>
          <w:rFonts w:hint="default" w:eastAsia="宋体" w:cs="Arial"/>
          <w:i w:val="0"/>
          <w:iCs w:val="0"/>
          <w:szCs w:val="18"/>
          <w:lang w:val="en-US"/>
        </w:rPr>
        <w:t>.</w:t>
      </w:r>
    </w:p>
    <w:p>
      <w:pPr>
        <w:numPr>
          <w:ilvl w:val="1"/>
          <w:numId w:val="4"/>
        </w:numPr>
        <w:ind w:left="840" w:leftChars="0" w:hanging="420" w:firstLineChars="0"/>
        <w:rPr>
          <w:rFonts w:hint="default" w:eastAsia="宋体" w:cs="Arial"/>
          <w:b w:val="0"/>
          <w:bCs w:val="0"/>
          <w:i w:val="0"/>
          <w:iCs w:val="0"/>
          <w:szCs w:val="18"/>
          <w:lang w:val="en-US" w:eastAsia="zh-CN"/>
        </w:rPr>
      </w:pPr>
      <w:r>
        <w:rPr>
          <w:rFonts w:hint="default" w:eastAsia="宋体" w:cs="Arial"/>
          <w:szCs w:val="18"/>
          <w:lang w:val="en-US" w:eastAsia="zh-CN"/>
        </w:rPr>
        <w:t>QoE configuration 3: ?</w:t>
      </w:r>
      <w:r>
        <w:rPr>
          <w:rFonts w:hint="default" w:eastAsia="宋体" w:cs="Arial"/>
          <w:szCs w:val="18"/>
          <w:lang w:val="en-US"/>
        </w:rPr>
        <w:t>.</w:t>
      </w:r>
    </w:p>
    <w:p>
      <w:pPr>
        <w:numPr>
          <w:ilvl w:val="0"/>
          <w:numId w:val="0"/>
        </w:numPr>
        <w:rPr>
          <w:rFonts w:hint="eastAsia"/>
          <w:b/>
          <w:bCs/>
          <w:i w:val="0"/>
          <w:iCs w:val="0"/>
          <w:lang w:val="en-US" w:eastAsia="zh-CN"/>
        </w:rPr>
      </w:pPr>
      <w:r>
        <w:rPr>
          <w:rFonts w:hint="eastAsia"/>
          <w:b/>
          <w:bCs/>
          <w:i w:val="0"/>
          <w:iCs w:val="0"/>
          <w:lang w:val="en-US" w:eastAsia="zh-CN"/>
        </w:rPr>
        <w:t>Observation 4: Based on the current specification, UE can not distinguish whether a QoE configuration is for multicast or for QoE</w:t>
      </w:r>
      <w:r>
        <w:rPr>
          <w:rFonts w:hint="default"/>
          <w:b/>
          <w:bCs/>
          <w:i w:val="0"/>
          <w:iCs w:val="0"/>
          <w:lang w:val="en-US" w:eastAsia="zh-CN"/>
        </w:rPr>
        <w:t xml:space="preserve"> without MBS restriction</w:t>
      </w:r>
      <w:r>
        <w:rPr>
          <w:rFonts w:hint="eastAsia"/>
          <w:b/>
          <w:bCs/>
          <w:i w:val="0"/>
          <w:iCs w:val="0"/>
          <w:lang w:val="en-US" w:eastAsia="zh-CN"/>
        </w:rPr>
        <w:t>.</w:t>
      </w:r>
    </w:p>
    <w:p>
      <w:pPr>
        <w:rPr>
          <w:rFonts w:hint="eastAsia"/>
          <w:b w:val="0"/>
          <w:bCs w:val="0"/>
          <w:i w:val="0"/>
          <w:iCs w:val="0"/>
          <w:lang w:val="en-US" w:eastAsia="zh-CN"/>
        </w:rPr>
      </w:pPr>
      <w:r>
        <w:rPr>
          <w:rFonts w:hint="eastAsia"/>
          <w:b w:val="0"/>
          <w:bCs w:val="0"/>
          <w:i w:val="0"/>
          <w:iCs w:val="0"/>
          <w:lang w:val="en-US" w:eastAsia="zh-CN"/>
        </w:rPr>
        <w:t>From our point of view, RAN3 may further discuss whether this issue exist based on the above explanation and share our understanding/wondering to related WGs if necessary.</w:t>
      </w:r>
    </w:p>
    <w:p>
      <w:pPr>
        <w:rPr>
          <w:rFonts w:hint="eastAsia"/>
          <w:b/>
          <w:bCs/>
          <w:i w:val="0"/>
          <w:iCs w:val="0"/>
          <w:lang w:val="en-US" w:eastAsia="zh-CN"/>
        </w:rPr>
      </w:pPr>
      <w:r>
        <w:rPr>
          <w:rFonts w:hint="eastAsia"/>
          <w:b/>
          <w:bCs/>
          <w:i w:val="0"/>
          <w:iCs w:val="0"/>
          <w:lang w:val="en-US" w:eastAsia="zh-CN"/>
        </w:rPr>
        <w:t>Proposal 1: RAN3 may further discuss whether this issue exist based on the above explanation and shares our understanding/confusion to related WGs if necessary.</w:t>
      </w:r>
    </w:p>
    <w:p>
      <w:pPr>
        <w:rPr>
          <w:rFonts w:hint="default"/>
          <w:lang w:val="en-US" w:eastAsia="zh-CN"/>
        </w:rPr>
      </w:pPr>
      <w:r>
        <w:rPr>
          <w:rFonts w:hint="eastAsia"/>
          <w:lang w:val="en-US" w:eastAsia="zh-CN"/>
        </w:rPr>
        <w:t>A draft LS out is prepared in annex and can be considered as baseline.</w:t>
      </w:r>
    </w:p>
    <w:p>
      <w:pPr>
        <w:pStyle w:val="2"/>
      </w:pPr>
      <w:r>
        <w:t>3</w:t>
      </w:r>
      <w:r>
        <w:tab/>
      </w:r>
      <w:r>
        <w:t>Conclusion</w:t>
      </w:r>
    </w:p>
    <w:p>
      <w:pPr>
        <w:numPr>
          <w:ilvl w:val="0"/>
          <w:numId w:val="0"/>
        </w:numPr>
        <w:rPr>
          <w:rFonts w:hint="default"/>
          <w:b/>
          <w:bCs/>
          <w:lang w:val="en-US"/>
        </w:rPr>
      </w:pPr>
      <w:r>
        <w:rPr>
          <w:rFonts w:hint="default"/>
          <w:b/>
          <w:bCs/>
          <w:lang w:val="en-US"/>
        </w:rPr>
        <w:t xml:space="preserve">Observation </w:t>
      </w:r>
      <w:r>
        <w:rPr>
          <w:rFonts w:hint="eastAsia"/>
          <w:b/>
          <w:bCs/>
          <w:lang w:val="en-US" w:eastAsia="zh-CN"/>
        </w:rPr>
        <w:t>1</w:t>
      </w:r>
      <w:r>
        <w:rPr>
          <w:rFonts w:hint="default"/>
          <w:b/>
          <w:bCs/>
          <w:lang w:val="en-US"/>
        </w:rPr>
        <w:t>: OAM/CN and gNB have explicitly info on whether one QoE configuration is configured for a specific MBS service type(e.g., broadcast, multicast).</w:t>
      </w:r>
    </w:p>
    <w:p>
      <w:pPr>
        <w:rPr>
          <w:rFonts w:hint="default"/>
          <w:b/>
          <w:lang w:val="en-US" w:eastAsia="zh-CN"/>
        </w:rPr>
      </w:pPr>
      <w:r>
        <w:rPr>
          <w:rFonts w:hint="default"/>
          <w:b/>
          <w:bCs/>
          <w:lang w:val="en-US"/>
        </w:rPr>
        <w:t xml:space="preserve">Observation </w:t>
      </w:r>
      <w:r>
        <w:rPr>
          <w:rFonts w:hint="eastAsia"/>
          <w:b/>
          <w:bCs/>
          <w:lang w:val="en-US" w:eastAsia="zh-CN"/>
        </w:rPr>
        <w:t>2</w:t>
      </w:r>
      <w:r>
        <w:rPr>
          <w:rFonts w:hint="default"/>
          <w:b/>
          <w:bCs/>
          <w:lang w:val="en-US"/>
        </w:rPr>
        <w:t>:</w:t>
      </w:r>
      <w:r>
        <w:rPr>
          <w:b/>
          <w:lang w:eastAsia="zh-CN"/>
        </w:rPr>
        <w:t xml:space="preserve"> Both the UE AS layer and upper layer kno</w:t>
      </w:r>
      <w:r>
        <w:rPr>
          <w:rFonts w:hint="eastAsia"/>
          <w:b/>
          <w:lang w:eastAsia="zh-CN"/>
        </w:rPr>
        <w:t>w</w:t>
      </w:r>
      <w:r>
        <w:rPr>
          <w:b/>
          <w:lang w:eastAsia="zh-CN"/>
        </w:rPr>
        <w:t>s the the MBS service type</w:t>
      </w:r>
      <w:r>
        <w:rPr>
          <w:rFonts w:hint="eastAsia"/>
          <w:b/>
          <w:lang w:val="en-US" w:eastAsia="zh-CN"/>
        </w:rPr>
        <w:t>(e.g., broadcast, multicast)</w:t>
      </w:r>
      <w:r>
        <w:rPr>
          <w:b/>
          <w:lang w:eastAsia="zh-CN"/>
        </w:rPr>
        <w:t xml:space="preserve"> of the ongoing MSB service</w:t>
      </w:r>
      <w:r>
        <w:rPr>
          <w:rFonts w:hint="default"/>
          <w:b/>
          <w:lang w:val="en-US" w:eastAsia="zh-CN"/>
        </w:rPr>
        <w:t>.</w:t>
      </w:r>
    </w:p>
    <w:p>
      <w:pPr>
        <w:numPr>
          <w:ilvl w:val="0"/>
          <w:numId w:val="0"/>
        </w:numPr>
        <w:rPr>
          <w:rFonts w:hint="default"/>
          <w:b/>
          <w:bCs/>
          <w:i w:val="0"/>
          <w:iCs w:val="0"/>
          <w:lang w:val="en-US" w:eastAsia="zh-CN"/>
        </w:rPr>
      </w:pPr>
      <w:r>
        <w:rPr>
          <w:rFonts w:hint="eastAsia"/>
          <w:b/>
          <w:bCs/>
          <w:i w:val="0"/>
          <w:iCs w:val="0"/>
          <w:lang w:val="en-US" w:eastAsia="zh-CN"/>
        </w:rPr>
        <w:t xml:space="preserve">Observation 3: Based on the current specification, UE may perform QoE for broadcast service if </w:t>
      </w:r>
      <w:r>
        <w:rPr>
          <w:rFonts w:hint="default"/>
          <w:b/>
          <w:bCs/>
          <w:i w:val="0"/>
          <w:iCs w:val="0"/>
          <w:lang w:val="en-US" w:eastAsia="zh-CN"/>
        </w:rPr>
        <w:t>the received QoE configuration contains</w:t>
      </w:r>
      <w:r>
        <w:rPr>
          <w:rFonts w:hint="eastAsia"/>
          <w:b/>
          <w:bCs/>
          <w:i w:val="0"/>
          <w:iCs w:val="0"/>
          <w:lang w:val="en-US" w:eastAsia="zh-CN"/>
        </w:rPr>
        <w:t xml:space="preserve"> </w:t>
      </w:r>
      <w:r>
        <w:rPr>
          <w:rFonts w:hint="eastAsia"/>
          <w:b/>
          <w:bCs/>
          <w:i/>
          <w:iCs/>
          <w:lang w:val="en-US" w:eastAsia="zh-CN"/>
        </w:rPr>
        <w:t xml:space="preserve">AppLayerIdleInactiveConfig </w:t>
      </w:r>
      <w:r>
        <w:rPr>
          <w:rFonts w:hint="eastAsia"/>
          <w:b/>
          <w:bCs/>
          <w:i w:val="0"/>
          <w:iCs w:val="0"/>
          <w:lang w:val="en-US" w:eastAsia="zh-CN"/>
        </w:rPr>
        <w:t>IE.</w:t>
      </w:r>
    </w:p>
    <w:p>
      <w:pPr>
        <w:numPr>
          <w:ilvl w:val="0"/>
          <w:numId w:val="0"/>
        </w:numPr>
        <w:rPr>
          <w:rFonts w:hint="eastAsia"/>
          <w:b/>
          <w:bCs/>
          <w:i w:val="0"/>
          <w:iCs w:val="0"/>
          <w:lang w:val="en-US" w:eastAsia="zh-CN"/>
        </w:rPr>
      </w:pPr>
      <w:r>
        <w:rPr>
          <w:rFonts w:hint="eastAsia"/>
          <w:b/>
          <w:bCs/>
          <w:i w:val="0"/>
          <w:iCs w:val="0"/>
          <w:lang w:val="en-US" w:eastAsia="zh-CN"/>
        </w:rPr>
        <w:t>Observation 4: Based on the current specification, UE can not distinguish whether a QoE configuration is for multicast or for QoE</w:t>
      </w:r>
      <w:r>
        <w:rPr>
          <w:rFonts w:hint="default"/>
          <w:b/>
          <w:bCs/>
          <w:i w:val="0"/>
          <w:iCs w:val="0"/>
          <w:lang w:val="en-US" w:eastAsia="zh-CN"/>
        </w:rPr>
        <w:t xml:space="preserve"> without MBS restriction</w:t>
      </w:r>
      <w:r>
        <w:rPr>
          <w:rFonts w:hint="eastAsia"/>
          <w:b/>
          <w:bCs/>
          <w:i w:val="0"/>
          <w:iCs w:val="0"/>
          <w:lang w:val="en-US" w:eastAsia="zh-CN"/>
        </w:rPr>
        <w:t>.</w:t>
      </w:r>
    </w:p>
    <w:p>
      <w:r>
        <w:rPr>
          <w:rFonts w:hint="eastAsia"/>
          <w:b/>
          <w:bCs/>
          <w:i w:val="0"/>
          <w:iCs w:val="0"/>
          <w:lang w:val="en-US" w:eastAsia="zh-CN"/>
        </w:rPr>
        <w:t>Proposal 1: RAN3 may further discuss whether this issue exist based on the above explanation and shares our understanding/confusion to related WGs if necessary.</w:t>
      </w:r>
    </w:p>
    <w:p/>
    <w:p>
      <w:pPr>
        <w:pStyle w:val="2"/>
      </w:pPr>
      <w:r>
        <w:t>4</w:t>
      </w:r>
      <w:r>
        <w:tab/>
      </w:r>
      <w:r>
        <w:t>Reference</w:t>
      </w:r>
    </w:p>
    <w:p>
      <w:pPr>
        <w:rPr>
          <w:rFonts w:hint="default"/>
          <w:lang w:val="en-US" w:eastAsia="zh-CN"/>
        </w:rPr>
      </w:pPr>
      <w:r>
        <w:rPr>
          <w:rFonts w:hint="default"/>
          <w:lang w:val="en-US" w:eastAsia="zh-CN"/>
        </w:rPr>
        <w:t>[1]</w:t>
      </w:r>
      <w:r>
        <w:rPr>
          <w:rFonts w:hint="default"/>
          <w:lang w:val="en-US" w:eastAsia="zh-CN"/>
        </w:rPr>
        <w:tab/>
      </w:r>
      <w:r>
        <w:rPr>
          <w:rFonts w:hint="default"/>
          <w:lang w:val="en-US" w:eastAsia="zh-CN"/>
        </w:rPr>
        <w:tab/>
      </w:r>
      <w:r>
        <w:rPr>
          <w:rFonts w:hint="default"/>
          <w:lang w:val="en-US" w:eastAsia="zh-CN"/>
        </w:rPr>
        <w:t>R3-244220</w:t>
      </w:r>
      <w:r>
        <w:rPr>
          <w:rFonts w:hint="default"/>
          <w:lang w:val="en-US" w:eastAsia="zh-CN"/>
        </w:rPr>
        <w:tab/>
      </w:r>
      <w:r>
        <w:rPr>
          <w:rFonts w:hint="default"/>
          <w:lang w:val="en-US" w:eastAsia="zh-CN"/>
        </w:rPr>
        <w:t>Discussions on UE's awareness of  MBS Communication Service Type for QMC (Huawei)</w:t>
      </w:r>
    </w:p>
    <w:p>
      <w:pPr>
        <w:rPr>
          <w:rFonts w:hint="default"/>
          <w:lang w:val="en-US" w:eastAsia="zh-CN"/>
        </w:rPr>
      </w:pPr>
      <w:r>
        <w:rPr>
          <w:rFonts w:hint="default"/>
          <w:lang w:val="en-US" w:eastAsia="zh-CN"/>
        </w:rPr>
        <w:t>[2]</w:t>
      </w:r>
      <w:r>
        <w:rPr>
          <w:rFonts w:hint="default"/>
          <w:lang w:val="en-US" w:eastAsia="zh-CN"/>
        </w:rPr>
        <w:tab/>
      </w:r>
      <w:r>
        <w:rPr>
          <w:rFonts w:hint="default"/>
          <w:lang w:val="en-US" w:eastAsia="zh-CN"/>
        </w:rPr>
        <w:tab/>
      </w:r>
      <w:r>
        <w:rPr>
          <w:rFonts w:hint="default"/>
          <w:lang w:val="en-US" w:eastAsia="zh-CN"/>
        </w:rPr>
        <w:t>R3-243028</w:t>
      </w:r>
      <w:r>
        <w:rPr>
          <w:rFonts w:hint="default"/>
          <w:lang w:val="en-US" w:eastAsia="zh-CN"/>
        </w:rPr>
        <w:tab/>
      </w:r>
      <w:r>
        <w:rPr>
          <w:rFonts w:hint="default"/>
          <w:lang w:val="en-US" w:eastAsia="zh-CN"/>
        </w:rPr>
        <w:t>LS on MBS Communication Service Type</w:t>
      </w:r>
    </w:p>
    <w:p>
      <w:pPr>
        <w:rPr>
          <w:rFonts w:hint="default"/>
          <w:lang w:val="en-US" w:eastAsia="zh-CN"/>
        </w:rPr>
      </w:pPr>
    </w:p>
    <w:p>
      <w:pPr>
        <w:rPr>
          <w:rFonts w:hint="default"/>
          <w:lang w:val="en-US" w:eastAsia="zh-CN"/>
        </w:rPr>
      </w:pPr>
    </w:p>
    <w:p>
      <w:pPr>
        <w:rPr>
          <w:lang w:eastAsia="zh-CN"/>
        </w:rPr>
      </w:pPr>
    </w:p>
    <w:p>
      <w:pPr>
        <w:pStyle w:val="87"/>
        <w:jc w:val="left"/>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pStyle w:val="2"/>
        <w:bidi w:val="0"/>
        <w:rPr>
          <w:rFonts w:hint="eastAsia"/>
          <w:lang w:val="en-US" w:eastAsia="zh-CN"/>
        </w:rPr>
      </w:pPr>
      <w:r>
        <w:rPr>
          <w:rFonts w:hint="default"/>
          <w:lang w:val="en-US"/>
        </w:rPr>
        <w:t xml:space="preserve">Annex </w:t>
      </w:r>
      <w:r>
        <w:rPr>
          <w:rFonts w:hint="eastAsia"/>
          <w:lang w:val="en-US" w:eastAsia="zh-CN"/>
        </w:rPr>
        <w:t>Draft LS out</w:t>
      </w:r>
    </w:p>
    <w:p>
      <w:pPr>
        <w:pStyle w:val="35"/>
        <w:tabs>
          <w:tab w:val="right" w:pos="9923"/>
        </w:tabs>
        <w:ind w:right="-7"/>
        <w:rPr>
          <w:rFonts w:hint="default" w:cs="Arial" w:eastAsiaTheme="minorEastAsia"/>
          <w:bCs/>
          <w:i/>
          <w:sz w:val="32"/>
          <w:highlight w:val="none"/>
          <w:lang w:val="en-US" w:eastAsia="zh-CN"/>
        </w:rPr>
      </w:pPr>
      <w:r>
        <w:rPr>
          <w:rFonts w:cs="Arial"/>
          <w:bCs/>
          <w:sz w:val="24"/>
          <w:highlight w:val="none"/>
        </w:rPr>
        <w:t>3GPP TSG-</w:t>
      </w:r>
      <w:r>
        <w:rPr>
          <w:rFonts w:cs="Arial"/>
          <w:bCs/>
          <w:sz w:val="24"/>
          <w:szCs w:val="24"/>
          <w:highlight w:val="none"/>
        </w:rPr>
        <w:t xml:space="preserve">RAN </w:t>
      </w:r>
      <w:r>
        <w:rPr>
          <w:rFonts w:cs="Arial"/>
          <w:sz w:val="24"/>
          <w:szCs w:val="24"/>
          <w:highlight w:val="none"/>
        </w:rPr>
        <w:t>WG3 Meeting #125</w:t>
      </w:r>
      <w:r>
        <w:rPr>
          <w:rFonts w:cs="Arial"/>
          <w:bCs/>
          <w:sz w:val="24"/>
          <w:highlight w:val="none"/>
        </w:rPr>
        <w:tab/>
      </w:r>
      <w:r>
        <w:rPr>
          <w:rFonts w:cs="Arial"/>
          <w:bCs/>
          <w:sz w:val="24"/>
          <w:highlight w:val="none"/>
        </w:rPr>
        <w:t>R3-24</w:t>
      </w:r>
      <w:r>
        <w:rPr>
          <w:rFonts w:hint="eastAsia" w:cs="Arial"/>
          <w:bCs/>
          <w:sz w:val="24"/>
          <w:highlight w:val="none"/>
          <w:lang w:val="en-US" w:eastAsia="zh-CN"/>
        </w:rPr>
        <w:t>xxxx</w:t>
      </w:r>
    </w:p>
    <w:p>
      <w:pPr>
        <w:pStyle w:val="85"/>
        <w:rPr>
          <w:b/>
          <w:sz w:val="24"/>
          <w:highlight w:val="none"/>
        </w:rPr>
      </w:pPr>
      <w:r>
        <w:rPr>
          <w:b/>
          <w:sz w:val="24"/>
          <w:highlight w:val="none"/>
        </w:rPr>
        <w:t>Maastricht, NL, 19 - 23 Aug, 2024</w:t>
      </w:r>
    </w:p>
    <w:p>
      <w:pPr>
        <w:pStyle w:val="87"/>
        <w:jc w:val="left"/>
      </w:pP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Title:</w:t>
      </w:r>
      <w:r>
        <w:rPr>
          <w:rFonts w:asciiTheme="minorHAnsi" w:hAnsiTheme="minorHAnsi" w:cstheme="minorHAnsi"/>
          <w:b/>
          <w:sz w:val="24"/>
          <w:szCs w:val="24"/>
        </w:rPr>
        <w:tab/>
      </w:r>
      <w:r>
        <w:rPr>
          <w:rFonts w:asciiTheme="minorHAnsi" w:hAnsiTheme="minorHAnsi" w:cstheme="minorHAnsi"/>
          <w:b/>
          <w:sz w:val="24"/>
          <w:szCs w:val="24"/>
        </w:rPr>
        <w:t xml:space="preserve">[DRAFT] </w:t>
      </w:r>
      <w:r>
        <w:rPr>
          <w:rFonts w:hint="eastAsia" w:asciiTheme="minorHAnsi" w:hAnsiTheme="minorHAnsi" w:cstheme="minorHAnsi"/>
          <w:b/>
          <w:sz w:val="24"/>
          <w:szCs w:val="24"/>
          <w:lang w:val="en-US" w:eastAsia="zh-CN"/>
        </w:rPr>
        <w:t xml:space="preserve">Clarification </w:t>
      </w:r>
      <w:r>
        <w:rPr>
          <w:rFonts w:asciiTheme="minorHAnsi" w:hAnsiTheme="minorHAnsi" w:cstheme="minorHAnsi"/>
          <w:b/>
          <w:sz w:val="24"/>
          <w:szCs w:val="24"/>
        </w:rPr>
        <w:t xml:space="preserve"> on MBS Communication Service Type</w:t>
      </w:r>
    </w:p>
    <w:p>
      <w:pPr>
        <w:spacing w:after="60"/>
        <w:ind w:left="1985" w:hanging="1985"/>
        <w:rPr>
          <w:rFonts w:asciiTheme="minorHAnsi" w:hAnsiTheme="minorHAnsi" w:cstheme="minorHAnsi"/>
          <w:b/>
          <w:sz w:val="24"/>
          <w:szCs w:val="24"/>
        </w:rPr>
      </w:pPr>
      <w:bookmarkStart w:id="17" w:name="OLE_LINK58"/>
      <w:bookmarkStart w:id="18" w:name="OLE_LINK57"/>
      <w:r>
        <w:rPr>
          <w:rFonts w:asciiTheme="minorHAnsi" w:hAnsiTheme="minorHAnsi" w:cstheme="minorHAnsi"/>
          <w:b/>
          <w:sz w:val="24"/>
          <w:szCs w:val="24"/>
        </w:rPr>
        <w:t>Response to:</w:t>
      </w:r>
      <w:r>
        <w:rPr>
          <w:rFonts w:asciiTheme="minorHAnsi" w:hAnsiTheme="minorHAnsi" w:cstheme="minorHAnsi"/>
          <w:b/>
          <w:sz w:val="24"/>
          <w:szCs w:val="24"/>
        </w:rPr>
        <w:tab/>
      </w:r>
      <w:r>
        <w:rPr>
          <w:rFonts w:asciiTheme="minorHAnsi" w:hAnsiTheme="minorHAnsi" w:cstheme="minorHAnsi"/>
          <w:b/>
          <w:bCs/>
          <w:sz w:val="24"/>
          <w:szCs w:val="24"/>
        </w:rPr>
        <w:t>R3-243028</w:t>
      </w:r>
    </w:p>
    <w:bookmarkEnd w:id="17"/>
    <w:bookmarkEnd w:id="18"/>
    <w:p>
      <w:pPr>
        <w:spacing w:after="60"/>
        <w:ind w:left="1985" w:hanging="1985"/>
        <w:rPr>
          <w:rFonts w:asciiTheme="minorHAnsi" w:hAnsiTheme="minorHAnsi" w:cstheme="minorHAnsi"/>
          <w:b/>
          <w:sz w:val="24"/>
          <w:szCs w:val="24"/>
        </w:rPr>
      </w:pPr>
      <w:bookmarkStart w:id="19" w:name="OLE_LINK60"/>
      <w:bookmarkStart w:id="20" w:name="OLE_LINK59"/>
      <w:bookmarkStart w:id="21" w:name="OLE_LINK61"/>
      <w:r>
        <w:rPr>
          <w:rFonts w:asciiTheme="minorHAnsi" w:hAnsiTheme="minorHAnsi" w:cstheme="minorHAnsi"/>
          <w:b/>
          <w:sz w:val="24"/>
          <w:szCs w:val="24"/>
        </w:rPr>
        <w:t>Release:</w:t>
      </w:r>
      <w:r>
        <w:rPr>
          <w:rFonts w:asciiTheme="minorHAnsi" w:hAnsiTheme="minorHAnsi" w:cstheme="minorHAnsi"/>
          <w:b/>
          <w:sz w:val="24"/>
          <w:szCs w:val="24"/>
        </w:rPr>
        <w:tab/>
      </w:r>
      <w:r>
        <w:rPr>
          <w:rFonts w:asciiTheme="minorHAnsi" w:hAnsiTheme="minorHAnsi" w:cstheme="minorHAnsi"/>
          <w:b/>
          <w:bCs/>
          <w:sz w:val="24"/>
          <w:szCs w:val="24"/>
        </w:rPr>
        <w:t>Rel</w:t>
      </w:r>
      <w:r>
        <w:rPr>
          <w:rFonts w:asciiTheme="minorHAnsi" w:hAnsiTheme="minorHAnsi" w:cstheme="minorHAnsi"/>
          <w:b/>
          <w:sz w:val="24"/>
          <w:szCs w:val="24"/>
        </w:rPr>
        <w:t>-18</w:t>
      </w:r>
    </w:p>
    <w:bookmarkEnd w:id="19"/>
    <w:bookmarkEnd w:id="20"/>
    <w:bookmarkEnd w:id="21"/>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Work Item:</w:t>
      </w:r>
      <w:r>
        <w:rPr>
          <w:rFonts w:asciiTheme="minorHAnsi" w:hAnsiTheme="minorHAnsi" w:cstheme="minorHAnsi"/>
          <w:b/>
          <w:sz w:val="24"/>
          <w:szCs w:val="24"/>
        </w:rPr>
        <w:tab/>
      </w:r>
      <w:r>
        <w:rPr>
          <w:rFonts w:asciiTheme="minorHAnsi" w:hAnsiTheme="minorHAnsi" w:cstheme="minorHAnsi"/>
          <w:b/>
          <w:sz w:val="24"/>
          <w:szCs w:val="24"/>
        </w:rPr>
        <w:t>NR_QoE_enh-Core</w:t>
      </w:r>
    </w:p>
    <w:p>
      <w:pPr>
        <w:spacing w:after="60"/>
        <w:ind w:left="1985" w:hanging="1985"/>
        <w:rPr>
          <w:rFonts w:asciiTheme="minorHAnsi" w:hAnsiTheme="minorHAnsi" w:cstheme="minorHAnsi"/>
          <w:b/>
          <w:sz w:val="24"/>
          <w:szCs w:val="24"/>
        </w:rPr>
      </w:pP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Source:</w:t>
      </w:r>
      <w:r>
        <w:rPr>
          <w:rFonts w:asciiTheme="minorHAnsi" w:hAnsiTheme="minorHAnsi" w:cstheme="minorHAnsi"/>
          <w:b/>
          <w:sz w:val="24"/>
          <w:szCs w:val="24"/>
        </w:rPr>
        <w:tab/>
      </w:r>
      <w:r>
        <w:rPr>
          <w:rFonts w:hint="eastAsia" w:asciiTheme="minorHAnsi" w:hAnsiTheme="minorHAnsi" w:cstheme="minorHAnsi"/>
          <w:b/>
          <w:sz w:val="24"/>
          <w:szCs w:val="24"/>
          <w:lang w:val="en-US" w:eastAsia="zh-CN"/>
        </w:rPr>
        <w:t>ZTE Corporation</w:t>
      </w:r>
      <w:r>
        <w:rPr>
          <w:rFonts w:asciiTheme="minorHAnsi" w:hAnsiTheme="minorHAnsi" w:cstheme="minorHAnsi"/>
          <w:b/>
          <w:sz w:val="24"/>
          <w:szCs w:val="24"/>
        </w:rPr>
        <w:t>[</w:t>
      </w:r>
      <w:r>
        <w:rPr>
          <w:rFonts w:hint="eastAsia" w:asciiTheme="minorHAnsi" w:hAnsiTheme="minorHAnsi" w:cstheme="minorHAnsi"/>
          <w:b/>
          <w:sz w:val="24"/>
          <w:szCs w:val="24"/>
          <w:lang w:val="en-US" w:eastAsia="zh-CN"/>
        </w:rPr>
        <w:t>shall be</w:t>
      </w:r>
      <w:r>
        <w:rPr>
          <w:rFonts w:asciiTheme="minorHAnsi" w:hAnsiTheme="minorHAnsi" w:cstheme="minorHAnsi"/>
          <w:b/>
          <w:sz w:val="24"/>
          <w:szCs w:val="24"/>
        </w:rPr>
        <w:t xml:space="preserve"> RAN3]</w:t>
      </w: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To:</w:t>
      </w:r>
      <w:r>
        <w:rPr>
          <w:rFonts w:asciiTheme="minorHAnsi" w:hAnsiTheme="minorHAnsi" w:cstheme="minorHAnsi"/>
          <w:b/>
          <w:sz w:val="24"/>
          <w:szCs w:val="24"/>
        </w:rPr>
        <w:tab/>
      </w:r>
      <w:r>
        <w:rPr>
          <w:rFonts w:asciiTheme="minorHAnsi" w:hAnsiTheme="minorHAnsi" w:cstheme="minorHAnsi"/>
          <w:b/>
          <w:sz w:val="24"/>
          <w:szCs w:val="24"/>
        </w:rPr>
        <w:t>RAN</w:t>
      </w:r>
      <w:r>
        <w:rPr>
          <w:rFonts w:hint="eastAsia" w:asciiTheme="minorHAnsi" w:hAnsiTheme="minorHAnsi" w:cstheme="minorHAnsi"/>
          <w:b/>
          <w:sz w:val="24"/>
          <w:szCs w:val="24"/>
          <w:lang w:val="en-US" w:eastAsia="zh-CN"/>
        </w:rPr>
        <w:t>2</w:t>
      </w:r>
      <w:r>
        <w:rPr>
          <w:rFonts w:asciiTheme="minorHAnsi" w:hAnsiTheme="minorHAnsi" w:cstheme="minorHAnsi"/>
          <w:b/>
          <w:sz w:val="24"/>
          <w:szCs w:val="24"/>
        </w:rPr>
        <w:t xml:space="preserve">, </w:t>
      </w:r>
    </w:p>
    <w:p>
      <w:pPr>
        <w:spacing w:after="60"/>
        <w:ind w:left="1985" w:hanging="1985"/>
        <w:rPr>
          <w:rFonts w:asciiTheme="minorHAnsi" w:hAnsiTheme="minorHAnsi" w:cstheme="minorHAnsi"/>
          <w:b/>
          <w:sz w:val="24"/>
          <w:szCs w:val="24"/>
        </w:rPr>
      </w:pPr>
      <w:bookmarkStart w:id="22" w:name="OLE_LINK45"/>
      <w:bookmarkStart w:id="23" w:name="OLE_LINK46"/>
      <w:r>
        <w:rPr>
          <w:rFonts w:asciiTheme="minorHAnsi" w:hAnsiTheme="minorHAnsi" w:cstheme="minorHAnsi"/>
          <w:b/>
          <w:sz w:val="24"/>
          <w:szCs w:val="24"/>
        </w:rPr>
        <w:t>Cc:</w:t>
      </w:r>
      <w:r>
        <w:rPr>
          <w:rFonts w:asciiTheme="minorHAnsi" w:hAnsiTheme="minorHAnsi" w:cstheme="minorHAnsi"/>
          <w:b/>
          <w:sz w:val="24"/>
          <w:szCs w:val="24"/>
        </w:rPr>
        <w:tab/>
      </w:r>
      <w:r>
        <w:rPr>
          <w:rFonts w:asciiTheme="minorHAnsi" w:hAnsiTheme="minorHAnsi" w:cstheme="minorHAnsi"/>
          <w:b/>
          <w:sz w:val="24"/>
          <w:szCs w:val="24"/>
        </w:rPr>
        <w:t>SA5, SA4</w:t>
      </w:r>
      <w:r>
        <w:rPr>
          <w:rFonts w:asciiTheme="minorHAnsi" w:hAnsiTheme="minorHAnsi" w:cstheme="minorHAnsi"/>
          <w:b/>
          <w:bCs/>
          <w:sz w:val="24"/>
          <w:szCs w:val="24"/>
        </w:rPr>
        <w:t xml:space="preserve">, </w:t>
      </w:r>
      <w:r>
        <w:rPr>
          <w:rFonts w:asciiTheme="minorHAnsi" w:hAnsiTheme="minorHAnsi" w:cstheme="minorHAnsi"/>
          <w:b/>
          <w:sz w:val="24"/>
          <w:szCs w:val="24"/>
        </w:rPr>
        <w:t>CT1</w:t>
      </w:r>
      <w:r>
        <w:rPr>
          <w:rFonts w:hint="default" w:asciiTheme="minorHAnsi" w:hAnsiTheme="minorHAnsi" w:cstheme="minorHAnsi"/>
          <w:b/>
          <w:sz w:val="24"/>
          <w:szCs w:val="24"/>
          <w:lang w:val="en-US"/>
        </w:rPr>
        <w:t xml:space="preserve">, </w:t>
      </w:r>
      <w:r>
        <w:rPr>
          <w:rFonts w:asciiTheme="minorHAnsi" w:hAnsiTheme="minorHAnsi" w:cstheme="minorHAnsi"/>
          <w:b/>
          <w:bCs/>
          <w:sz w:val="24"/>
          <w:szCs w:val="24"/>
        </w:rPr>
        <w:t>CT4</w:t>
      </w:r>
    </w:p>
    <w:bookmarkEnd w:id="22"/>
    <w:bookmarkEnd w:id="23"/>
    <w:p>
      <w:pPr>
        <w:spacing w:after="60"/>
        <w:ind w:left="1985" w:hanging="1985"/>
        <w:rPr>
          <w:rFonts w:asciiTheme="minorHAnsi" w:hAnsiTheme="minorHAnsi" w:cstheme="minorHAnsi"/>
          <w:sz w:val="24"/>
          <w:szCs w:val="24"/>
        </w:rPr>
      </w:pPr>
    </w:p>
    <w:p>
      <w:pPr>
        <w:spacing w:after="60"/>
        <w:ind w:left="1985" w:hanging="1985"/>
        <w:rPr>
          <w:rFonts w:hint="default" w:asciiTheme="minorHAnsi" w:hAnsiTheme="minorHAnsi" w:eastAsiaTheme="minorEastAsia" w:cstheme="minorHAnsi"/>
          <w:b/>
          <w:sz w:val="24"/>
          <w:szCs w:val="24"/>
          <w:lang w:val="en-US" w:eastAsia="zh-CN"/>
        </w:rPr>
      </w:pPr>
      <w:r>
        <w:rPr>
          <w:rFonts w:asciiTheme="minorHAnsi" w:hAnsiTheme="minorHAnsi" w:cstheme="minorHAnsi"/>
          <w:b/>
          <w:sz w:val="24"/>
          <w:szCs w:val="24"/>
        </w:rPr>
        <w:t>Contact person:</w:t>
      </w:r>
      <w:r>
        <w:rPr>
          <w:rFonts w:asciiTheme="minorHAnsi" w:hAnsiTheme="minorHAnsi" w:cstheme="minorHAnsi"/>
          <w:b/>
          <w:sz w:val="24"/>
          <w:szCs w:val="24"/>
        </w:rPr>
        <w:tab/>
      </w:r>
      <w:r>
        <w:rPr>
          <w:rFonts w:hint="eastAsia" w:asciiTheme="minorHAnsi" w:hAnsiTheme="minorHAnsi" w:cstheme="minorHAnsi"/>
          <w:b/>
          <w:sz w:val="24"/>
          <w:szCs w:val="24"/>
          <w:lang w:val="en-US" w:eastAsia="zh-CN"/>
        </w:rPr>
        <w:t>Liu Yansheng</w:t>
      </w:r>
    </w:p>
    <w:p>
      <w:pPr>
        <w:spacing w:after="60"/>
        <w:ind w:left="1985" w:hanging="1985"/>
        <w:rPr>
          <w:rFonts w:hint="default" w:asciiTheme="minorHAnsi" w:hAnsiTheme="minorHAnsi" w:eastAsiaTheme="minorEastAsia" w:cstheme="minorHAnsi"/>
          <w:b/>
          <w:sz w:val="24"/>
          <w:szCs w:val="24"/>
          <w:lang w:val="en-US" w:eastAsia="zh-CN"/>
        </w:rPr>
      </w:pPr>
      <w:r>
        <w:rPr>
          <w:rFonts w:asciiTheme="minorHAnsi" w:hAnsiTheme="minorHAnsi" w:cstheme="minorHAnsi"/>
          <w:b/>
          <w:sz w:val="24"/>
          <w:szCs w:val="24"/>
        </w:rPr>
        <w:tab/>
      </w:r>
      <w:r>
        <w:rPr>
          <w:rFonts w:hint="eastAsia" w:asciiTheme="minorHAnsi" w:hAnsiTheme="minorHAnsi" w:cstheme="minorHAnsi"/>
          <w:b/>
          <w:sz w:val="24"/>
          <w:szCs w:val="24"/>
          <w:lang w:val="en-US" w:eastAsia="zh-CN"/>
        </w:rPr>
        <w:t>Liu.yansheng</w:t>
      </w:r>
      <w:r>
        <w:rPr>
          <w:rFonts w:asciiTheme="minorHAnsi" w:hAnsiTheme="minorHAnsi" w:cstheme="minorHAnsi"/>
          <w:b/>
          <w:sz w:val="24"/>
          <w:szCs w:val="24"/>
        </w:rPr>
        <w:t>@</w:t>
      </w:r>
      <w:r>
        <w:rPr>
          <w:rFonts w:hint="eastAsia" w:asciiTheme="minorHAnsi" w:hAnsiTheme="minorHAnsi" w:cstheme="minorHAnsi"/>
          <w:b/>
          <w:sz w:val="24"/>
          <w:szCs w:val="24"/>
          <w:lang w:val="en-US" w:eastAsia="zh-CN"/>
        </w:rPr>
        <w:t>zte</w:t>
      </w:r>
      <w:r>
        <w:rPr>
          <w:rFonts w:asciiTheme="minorHAnsi" w:hAnsiTheme="minorHAnsi" w:cstheme="minorHAnsi"/>
          <w:b/>
          <w:sz w:val="24"/>
          <w:szCs w:val="24"/>
        </w:rPr>
        <w:t>.com</w:t>
      </w:r>
      <w:r>
        <w:rPr>
          <w:rFonts w:hint="eastAsia" w:asciiTheme="minorHAnsi" w:hAnsiTheme="minorHAnsi" w:cstheme="minorHAnsi"/>
          <w:b/>
          <w:sz w:val="24"/>
          <w:szCs w:val="24"/>
          <w:lang w:val="en-US" w:eastAsia="zh-CN"/>
        </w:rPr>
        <w:t>.cn</w:t>
      </w: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ab/>
      </w: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Send any reply LS to:</w:t>
      </w:r>
      <w:r>
        <w:rPr>
          <w:rFonts w:asciiTheme="minorHAnsi" w:hAnsiTheme="minorHAnsi" w:cstheme="minorHAnsi"/>
          <w:b/>
          <w:sz w:val="24"/>
          <w:szCs w:val="24"/>
        </w:rPr>
        <w:tab/>
      </w:r>
      <w:r>
        <w:rPr>
          <w:rFonts w:asciiTheme="minorHAnsi" w:hAnsiTheme="minorHAnsi" w:cstheme="minorHAnsi"/>
          <w:b/>
          <w:sz w:val="24"/>
          <w:szCs w:val="24"/>
        </w:rPr>
        <w:t xml:space="preserve">3GPP Liaisons Coordinator, </w:t>
      </w:r>
      <w:r>
        <w:fldChar w:fldCharType="begin"/>
      </w:r>
      <w:r>
        <w:instrText xml:space="preserve"> HYPERLINK "mailto:3GPPLiaison@etsi.org" </w:instrText>
      </w:r>
      <w:r>
        <w:fldChar w:fldCharType="separate"/>
      </w:r>
      <w:r>
        <w:rPr>
          <w:rStyle w:val="48"/>
          <w:rFonts w:asciiTheme="minorHAnsi" w:hAnsiTheme="minorHAnsi" w:cstheme="minorHAnsi"/>
          <w:b/>
          <w:sz w:val="24"/>
          <w:szCs w:val="24"/>
        </w:rPr>
        <w:t>mailto:3GPPLiaison@etsi.org</w:t>
      </w:r>
      <w:r>
        <w:rPr>
          <w:rStyle w:val="48"/>
          <w:rFonts w:asciiTheme="minorHAnsi" w:hAnsiTheme="minorHAnsi" w:cstheme="minorHAnsi"/>
          <w:b/>
          <w:sz w:val="24"/>
          <w:szCs w:val="24"/>
        </w:rPr>
        <w:fldChar w:fldCharType="end"/>
      </w:r>
    </w:p>
    <w:p>
      <w:pPr>
        <w:spacing w:after="60"/>
        <w:ind w:left="1985" w:hanging="1985"/>
        <w:rPr>
          <w:rFonts w:asciiTheme="minorHAnsi" w:hAnsiTheme="minorHAnsi" w:cstheme="minorHAnsi"/>
          <w:b/>
          <w:sz w:val="24"/>
          <w:szCs w:val="24"/>
        </w:rPr>
      </w:pPr>
    </w:p>
    <w:p>
      <w:pPr>
        <w:spacing w:after="60"/>
        <w:ind w:left="1985" w:hanging="1985"/>
        <w:rPr>
          <w:rStyle w:val="48"/>
          <w:rFonts w:asciiTheme="minorHAnsi" w:hAnsiTheme="minorHAnsi" w:cstheme="minorHAnsi"/>
          <w:sz w:val="24"/>
          <w:szCs w:val="24"/>
        </w:rPr>
      </w:pPr>
      <w:r>
        <w:rPr>
          <w:rFonts w:asciiTheme="minorHAnsi" w:hAnsiTheme="minorHAnsi" w:cstheme="minorHAnsi"/>
          <w:b/>
          <w:sz w:val="24"/>
          <w:szCs w:val="24"/>
        </w:rPr>
        <w:t>Attachments:</w:t>
      </w:r>
      <w:r>
        <w:rPr>
          <w:rFonts w:asciiTheme="minorHAnsi" w:hAnsiTheme="minorHAnsi" w:cstheme="minorHAnsi"/>
          <w:sz w:val="24"/>
          <w:szCs w:val="24"/>
        </w:rPr>
        <w:tab/>
      </w:r>
      <w:r>
        <w:rPr>
          <w:rFonts w:asciiTheme="minorHAnsi" w:hAnsiTheme="minorHAnsi" w:cstheme="minorHAnsi"/>
          <w:sz w:val="24"/>
          <w:szCs w:val="24"/>
        </w:rPr>
        <w:t>-</w:t>
      </w:r>
    </w:p>
    <w:p>
      <w:pPr>
        <w:pStyle w:val="87"/>
        <w:jc w:val="left"/>
      </w:pPr>
    </w:p>
    <w:p>
      <w:pPr>
        <w:pStyle w:val="2"/>
        <w:rPr>
          <w:rFonts w:hint="default" w:ascii="Arial" w:hAnsi="Arial" w:cs="Arial"/>
        </w:rPr>
      </w:pPr>
      <w:r>
        <w:rPr>
          <w:rFonts w:hint="default" w:ascii="Arial" w:hAnsi="Arial" w:cs="Arial"/>
        </w:rPr>
        <w:t>1</w:t>
      </w:r>
      <w:r>
        <w:rPr>
          <w:rFonts w:hint="default" w:ascii="Arial" w:hAnsi="Arial" w:cs="Arial"/>
        </w:rPr>
        <w:tab/>
      </w:r>
      <w:r>
        <w:rPr>
          <w:rFonts w:hint="default" w:ascii="Arial" w:hAnsi="Arial" w:cs="Arial"/>
        </w:rPr>
        <w:t>Overall description</w:t>
      </w:r>
    </w:p>
    <w:p>
      <w:pPr>
        <w:rPr>
          <w:rStyle w:val="47"/>
          <w:rFonts w:hint="default"/>
          <w:i w:val="0"/>
          <w:iCs w:val="0"/>
          <w:highlight w:val="none"/>
          <w:lang w:val="en-US" w:eastAsia="zh-CN"/>
        </w:rPr>
      </w:pPr>
      <w:r>
        <w:rPr>
          <w:rStyle w:val="47"/>
          <w:rFonts w:hint="eastAsia"/>
          <w:i w:val="0"/>
          <w:iCs w:val="0"/>
          <w:highlight w:val="none"/>
          <w:lang w:val="en-US" w:eastAsia="zh-CN"/>
        </w:rPr>
        <w:t xml:space="preserve">Thanks SA5 for </w:t>
      </w:r>
      <w:r>
        <w:rPr>
          <w:rStyle w:val="47"/>
          <w:rFonts w:hint="default"/>
          <w:i w:val="0"/>
          <w:iCs w:val="0"/>
          <w:highlight w:val="none"/>
          <w:lang w:val="en-US" w:eastAsia="zh-CN"/>
        </w:rPr>
        <w:t>informing RAN3 on the MBS communication service type progress. RAN3 further discusses the UE awareness issue based on received content and current specifications. In Rel-18, NR QoE supports to measure the existing service type when the UP data for such service type is transmitted via a specific MBS communication type(e.g. broadcast, multicast). RAN3 understands that one UE with such QoE configuration shall be aware on the whether the QoE measurement shall be triggered and collected for a specific MBS communication type(e.g. broadcast, multicast). However, based on the current mechanism, RAN3 understands UE may not be able to distinguish the difference between a QoE configuration for multicast and a QoE configuration for broadcast.</w:t>
      </w:r>
    </w:p>
    <w:p>
      <w:pPr>
        <w:rPr>
          <w:rStyle w:val="47"/>
          <w:rFonts w:hint="default"/>
          <w:i w:val="0"/>
          <w:iCs w:val="0"/>
          <w:highlight w:val="yellow"/>
          <w:lang w:val="en-US" w:eastAsia="zh-CN"/>
        </w:rPr>
      </w:pPr>
    </w:p>
    <w:p>
      <w:pPr>
        <w:pStyle w:val="2"/>
      </w:pPr>
      <w:r>
        <w:t>2</w:t>
      </w:r>
      <w:r>
        <w:tab/>
      </w:r>
      <w:r>
        <w:t>Actions</w:t>
      </w:r>
    </w:p>
    <w:p>
      <w:pPr>
        <w:spacing w:after="120"/>
        <w:ind w:left="1985" w:hanging="1985"/>
        <w:rPr>
          <w:rFonts w:hint="default" w:ascii="Arial" w:hAnsi="Arial" w:cs="Arial" w:eastAsiaTheme="minorEastAsia"/>
          <w:b/>
          <w:lang w:val="en-US" w:eastAsia="zh-CN"/>
        </w:rPr>
      </w:pPr>
      <w:r>
        <w:rPr>
          <w:rFonts w:ascii="Arial" w:hAnsi="Arial" w:cs="Arial"/>
          <w:b/>
        </w:rPr>
        <w:t xml:space="preserve">To </w:t>
      </w:r>
      <w:r>
        <w:rPr>
          <w:rFonts w:hint="eastAsia" w:ascii="Arial" w:hAnsi="Arial" w:cs="Arial"/>
          <w:b/>
          <w:lang w:val="en-US" w:eastAsia="zh-CN"/>
        </w:rPr>
        <w:t>RAN2</w:t>
      </w:r>
    </w:p>
    <w:p>
      <w:pPr>
        <w:spacing w:after="120"/>
        <w:ind w:left="993" w:hanging="993"/>
        <w:rPr>
          <w:rFonts w:ascii="Arial" w:hAnsi="Arial" w:cs="Arial"/>
        </w:rPr>
      </w:pPr>
      <w:r>
        <w:rPr>
          <w:rFonts w:ascii="Arial" w:hAnsi="Arial" w:cs="Arial"/>
          <w:b/>
        </w:rPr>
        <w:t xml:space="preserve">ACTION: </w:t>
      </w:r>
      <w:r>
        <w:rPr>
          <w:rFonts w:ascii="Arial" w:hAnsi="Arial" w:cs="Arial"/>
          <w:b/>
        </w:rPr>
        <w:tab/>
      </w:r>
      <w:bookmarkStart w:id="24" w:name="_Hlk155339952"/>
      <w:r>
        <w:rPr>
          <w:rFonts w:hint="eastAsia"/>
          <w:lang w:val="en-US" w:eastAsia="zh-CN"/>
        </w:rPr>
        <w:t xml:space="preserve">RAN3 </w:t>
      </w:r>
      <w:r>
        <w:t xml:space="preserve">kindly asks </w:t>
      </w:r>
      <w:r>
        <w:rPr>
          <w:rFonts w:hint="eastAsia"/>
          <w:lang w:val="en-US" w:eastAsia="zh-CN"/>
        </w:rPr>
        <w:t xml:space="preserve">RAN2 </w:t>
      </w:r>
      <w:r>
        <w:t xml:space="preserve">to take the above </w:t>
      </w:r>
      <w:r>
        <w:rPr>
          <w:rFonts w:hint="default"/>
          <w:lang w:val="en-US"/>
        </w:rPr>
        <w:t xml:space="preserve">information </w:t>
      </w:r>
      <w:r>
        <w:t>into account and provide feedback if necessary</w:t>
      </w:r>
      <w:bookmarkEnd w:id="24"/>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cs="Arial"/>
          <w:szCs w:val="36"/>
          <w:lang w:val="en-US" w:eastAsia="zh-CN"/>
        </w:rPr>
        <w:t>RAN</w:t>
      </w:r>
      <w:r>
        <w:rPr>
          <w:rFonts w:cs="Arial"/>
          <w:bCs/>
          <w:szCs w:val="36"/>
        </w:rPr>
        <w:t xml:space="preserve"> WG </w:t>
      </w:r>
      <w:r>
        <w:rPr>
          <w:rFonts w:hint="eastAsia" w:cs="Arial"/>
          <w:bCs/>
          <w:szCs w:val="36"/>
          <w:lang w:val="en-US" w:eastAsia="zh-CN"/>
        </w:rPr>
        <w:t>3</w:t>
      </w:r>
      <w:r>
        <w:rPr>
          <w:szCs w:val="36"/>
        </w:rPr>
        <w:t xml:space="preserve"> meetings</w:t>
      </w:r>
    </w:p>
    <w:p>
      <w:pPr>
        <w:rPr>
          <w:rFonts w:hint="default" w:eastAsiaTheme="minorEastAsia"/>
          <w:lang w:val="en-US" w:eastAsia="zh-CN"/>
        </w:rPr>
      </w:pPr>
      <w:bookmarkStart w:id="25" w:name="OLE_LINK1"/>
      <w:r>
        <w:rPr>
          <w:rFonts w:hint="eastAsia"/>
          <w:lang w:val="en-US" w:eastAsia="zh-CN"/>
        </w:rPr>
        <w:t>RAN3</w:t>
      </w:r>
      <w:r>
        <w:t>#1</w:t>
      </w:r>
      <w:r>
        <w:rPr>
          <w:rFonts w:hint="eastAsia"/>
          <w:lang w:val="en-US" w:eastAsia="zh-CN"/>
        </w:rPr>
        <w:t>2</w:t>
      </w:r>
      <w:r>
        <w:t>5</w:t>
      </w:r>
      <w:bookmarkEnd w:id="25"/>
      <w:r>
        <w:rPr>
          <w:rFonts w:hint="eastAsia"/>
          <w:lang w:val="en-US" w:eastAsia="zh-CN"/>
        </w:rPr>
        <w:t>-bis</w:t>
      </w:r>
      <w:r>
        <w:tab/>
      </w:r>
      <w:r>
        <w:tab/>
      </w:r>
      <w:r>
        <w:rPr>
          <w:rFonts w:hint="eastAsia"/>
          <w:lang w:val="en-US" w:eastAsia="zh-CN"/>
        </w:rPr>
        <w:t>14</w:t>
      </w:r>
      <w:r>
        <w:t xml:space="preserve"> - </w:t>
      </w:r>
      <w:r>
        <w:rPr>
          <w:rFonts w:hint="eastAsia"/>
          <w:lang w:val="en-US" w:eastAsia="zh-CN"/>
        </w:rPr>
        <w:t>18</w:t>
      </w:r>
      <w:r>
        <w:t xml:space="preserve"> </w:t>
      </w:r>
      <w:r>
        <w:rPr>
          <w:rFonts w:hint="eastAsia"/>
          <w:lang w:val="en-US" w:eastAsia="zh-CN"/>
        </w:rPr>
        <w:t>Oct</w:t>
      </w:r>
      <w:r>
        <w:t xml:space="preserve"> 2024</w:t>
      </w:r>
      <w:r>
        <w:tab/>
      </w:r>
      <w:r>
        <w:tab/>
      </w:r>
      <w:r>
        <w:rPr>
          <w:rFonts w:hint="eastAsia"/>
          <w:lang w:val="en-US" w:eastAsia="zh-CN"/>
        </w:rPr>
        <w:t>Hefei, CN</w:t>
      </w:r>
    </w:p>
    <w:p>
      <w:pPr>
        <w:rPr>
          <w:rFonts w:hint="default" w:eastAsiaTheme="minorEastAsia"/>
          <w:lang w:val="en-US" w:eastAsia="zh-CN"/>
        </w:rPr>
      </w:pPr>
      <w:r>
        <w:rPr>
          <w:rFonts w:hint="eastAsia"/>
          <w:lang w:val="en-US" w:eastAsia="zh-CN"/>
        </w:rPr>
        <w:t>RAN3</w:t>
      </w:r>
      <w:r>
        <w:t>#1</w:t>
      </w:r>
      <w:r>
        <w:rPr>
          <w:rFonts w:hint="eastAsia"/>
          <w:lang w:val="en-US" w:eastAsia="zh-CN"/>
        </w:rPr>
        <w:t>26</w:t>
      </w:r>
      <w:r>
        <w:tab/>
      </w:r>
      <w:r>
        <w:tab/>
      </w:r>
      <w:r>
        <w:t>1</w:t>
      </w:r>
      <w:r>
        <w:rPr>
          <w:rFonts w:hint="eastAsia"/>
          <w:lang w:val="en-US" w:eastAsia="zh-CN"/>
        </w:rPr>
        <w:t>8</w:t>
      </w:r>
      <w:r>
        <w:t xml:space="preserve"> - 2</w:t>
      </w:r>
      <w:r>
        <w:rPr>
          <w:rFonts w:hint="eastAsia"/>
          <w:lang w:val="en-US" w:eastAsia="zh-CN"/>
        </w:rPr>
        <w:t>2</w:t>
      </w:r>
      <w:r>
        <w:t xml:space="preserve"> </w:t>
      </w:r>
      <w:r>
        <w:rPr>
          <w:rFonts w:hint="eastAsia"/>
          <w:lang w:val="en-US" w:eastAsia="zh-CN"/>
        </w:rPr>
        <w:t xml:space="preserve">Nov </w:t>
      </w:r>
      <w:r>
        <w:t>2024</w:t>
      </w:r>
      <w:r>
        <w:tab/>
      </w:r>
      <w:r>
        <w:rPr>
          <w:rFonts w:hint="eastAsia"/>
          <w:lang w:val="en-US" w:eastAsia="zh-CN"/>
        </w:rPr>
        <w:tab/>
      </w:r>
      <w:r>
        <w:rPr>
          <w:rFonts w:hint="eastAsia"/>
          <w:lang w:val="en-US" w:eastAsia="zh-CN"/>
        </w:rPr>
        <w:t>Orlando</w:t>
      </w:r>
      <w:r>
        <w:t xml:space="preserve">, </w:t>
      </w:r>
      <w:r>
        <w:rPr>
          <w:rFonts w:hint="eastAsia"/>
          <w:lang w:val="en-US" w:eastAsia="zh-CN"/>
        </w:rPr>
        <w:t>US</w:t>
      </w:r>
    </w:p>
    <w:p>
      <w:pPr>
        <w:pStyle w:val="87"/>
        <w:jc w:val="left"/>
        <w:sectPr>
          <w:footnotePr>
            <w:numRestart w:val="eachSect"/>
          </w:footnotePr>
          <w:pgSz w:w="11907" w:h="16840"/>
          <w:pgMar w:top="1134" w:right="1134" w:bottom="1418" w:left="1134" w:header="680" w:footer="567" w:gutter="0"/>
          <w:cols w:space="720" w:num="1"/>
          <w:docGrid w:linePitch="272" w:charSpace="0"/>
        </w:sectPr>
      </w:pPr>
    </w:p>
    <w:p>
      <w:pPr>
        <w:pStyle w:val="2"/>
        <w:bidi w:val="0"/>
        <w:rPr>
          <w:rFonts w:hint="default"/>
          <w:lang w:val="en-US"/>
        </w:rPr>
      </w:pPr>
      <w:r>
        <w:rPr>
          <w:rFonts w:hint="default"/>
          <w:lang w:val="en-US"/>
        </w:rPr>
        <w:t xml:space="preserve">Annex TS 38.331 </w:t>
      </w:r>
    </w:p>
    <w:p>
      <w:pPr>
        <w:rPr>
          <w:rFonts w:hint="default"/>
          <w:lang w:val="en-US"/>
        </w:rPr>
      </w:pPr>
    </w:p>
    <w:p>
      <w:pPr>
        <w:pStyle w:val="5"/>
      </w:pPr>
      <w:bookmarkStart w:id="26" w:name="_Toc171468213"/>
      <w:r>
        <w:t>–</w:t>
      </w:r>
      <w:r>
        <w:tab/>
      </w:r>
      <w:r>
        <w:rPr>
          <w:i/>
          <w:iCs/>
          <w:highlight w:val="yellow"/>
        </w:rPr>
        <w:t>AppLayerIdleInactiveConfig</w:t>
      </w:r>
      <w:bookmarkEnd w:id="26"/>
    </w:p>
    <w:p>
      <w:pPr>
        <w:keepNext/>
        <w:keepLines/>
        <w:rPr>
          <w:iCs/>
          <w:highlight w:val="yellow"/>
        </w:rPr>
      </w:pPr>
      <w:r>
        <w:rPr>
          <w:highlight w:val="yellow"/>
        </w:rPr>
        <w:t xml:space="preserve">The IE </w:t>
      </w:r>
      <w:r>
        <w:rPr>
          <w:i/>
          <w:highlight w:val="yellow"/>
        </w:rPr>
        <w:t>AppLayerIdleInactiveConfig</w:t>
      </w:r>
      <w:r>
        <w:rPr>
          <w:iCs/>
          <w:highlight w:val="yellow"/>
        </w:rPr>
        <w:t xml:space="preserve"> indicates parameters specific to application layer measurements applicable to RRC_IDLE and RRC_INACTIVE.</w:t>
      </w:r>
    </w:p>
    <w:p>
      <w:pPr>
        <w:pStyle w:val="59"/>
      </w:pPr>
      <w:r>
        <w:rPr>
          <w:i/>
          <w:iCs/>
        </w:rPr>
        <w:t>AppLayerIdleInactiveConfig</w:t>
      </w:r>
      <w:r>
        <w:t xml:space="preserve"> information element</w:t>
      </w:r>
    </w:p>
    <w:p>
      <w:pPr>
        <w:pStyle w:val="68"/>
        <w:rPr>
          <w:color w:val="808080"/>
        </w:rPr>
      </w:pPr>
      <w:r>
        <w:rPr>
          <w:color w:val="808080"/>
        </w:rPr>
        <w:t>-- ASN1START</w:t>
      </w:r>
    </w:p>
    <w:p>
      <w:pPr>
        <w:pStyle w:val="68"/>
        <w:rPr>
          <w:color w:val="808080"/>
        </w:rPr>
      </w:pPr>
      <w:r>
        <w:rPr>
          <w:color w:val="808080"/>
        </w:rPr>
        <w:t>-- TAG-APPLAYERIDLEINACTIVECONFIG-START</w:t>
      </w:r>
    </w:p>
    <w:p>
      <w:pPr>
        <w:pStyle w:val="68"/>
      </w:pPr>
    </w:p>
    <w:p>
      <w:pPr>
        <w:pStyle w:val="68"/>
      </w:pPr>
      <w:r>
        <w:t xml:space="preserve">AppLayerIdleInactiveConfig-r18 ::=   </w:t>
      </w:r>
      <w:r>
        <w:rPr>
          <w:color w:val="993366"/>
        </w:rPr>
        <w:t>SEQUENCE</w:t>
      </w:r>
      <w:r>
        <w:t xml:space="preserve"> {</w:t>
      </w:r>
    </w:p>
    <w:p>
      <w:pPr>
        <w:pStyle w:val="68"/>
      </w:pPr>
      <w:r>
        <w:t xml:space="preserve">    measConfigAppLayerId-r18             MeasConfigAppLayerId-r17,</w:t>
      </w:r>
    </w:p>
    <w:p>
      <w:pPr>
        <w:pStyle w:val="68"/>
        <w:rPr>
          <w:color w:val="808080"/>
        </w:rPr>
      </w:pPr>
      <w:r>
        <w:t xml:space="preserve">    serviceType-r18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pPr>
        <w:pStyle w:val="68"/>
        <w:rPr>
          <w:color w:val="808080"/>
        </w:rPr>
      </w:pPr>
      <w:r>
        <w:t xml:space="preserve">    appLayerMeasPriority-r18             </w:t>
      </w:r>
      <w:r>
        <w:rPr>
          <w:color w:val="993366"/>
        </w:rPr>
        <w:t>INTEGER</w:t>
      </w:r>
      <w:r>
        <w:t xml:space="preserve"> (1..16)                                                           </w:t>
      </w:r>
      <w:r>
        <w:rPr>
          <w:color w:val="993366"/>
        </w:rPr>
        <w:t>OPTIONAL</w:t>
      </w:r>
      <w:r>
        <w:t xml:space="preserve">, </w:t>
      </w:r>
      <w:r>
        <w:rPr>
          <w:color w:val="808080"/>
        </w:rPr>
        <w:t>-- Need M</w:t>
      </w:r>
    </w:p>
    <w:p>
      <w:pPr>
        <w:pStyle w:val="68"/>
        <w:rPr>
          <w:rFonts w:eastAsia="宋体"/>
          <w:color w:val="808080"/>
        </w:rPr>
      </w:pPr>
      <w:r>
        <w:rPr>
          <w:rFonts w:eastAsia="宋体"/>
        </w:rPr>
        <w:t xml:space="preserve">    qoe-Reference-r18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r>
        <w:rPr>
          <w:rFonts w:eastAsia="宋体"/>
        </w:rPr>
        <w:t xml:space="preserve"> </w:t>
      </w:r>
      <w:r>
        <w:rPr>
          <w:rFonts w:eastAsia="宋体"/>
          <w:color w:val="808080"/>
        </w:rPr>
        <w:t>-- Need M</w:t>
      </w:r>
    </w:p>
    <w:p>
      <w:pPr>
        <w:pStyle w:val="68"/>
        <w:rPr>
          <w:rFonts w:eastAsia="宋体"/>
          <w:color w:val="808080"/>
        </w:rPr>
      </w:pPr>
      <w:r>
        <w:rPr>
          <w:rFonts w:eastAsia="宋体"/>
        </w:rPr>
        <w:t xml:space="preserve">    qoe-MeasurementType-r18              </w:t>
      </w:r>
      <w:r>
        <w:rPr>
          <w:rFonts w:eastAsia="宋体"/>
          <w:color w:val="993366"/>
        </w:rPr>
        <w:t>ENUMERATED</w:t>
      </w:r>
      <w:r>
        <w:rPr>
          <w:rFonts w:eastAsia="宋体"/>
        </w:rPr>
        <w:t xml:space="preserve"> {sbased, mbased}                                               </w:t>
      </w:r>
      <w:r>
        <w:rPr>
          <w:rFonts w:eastAsia="宋体"/>
          <w:color w:val="993366"/>
        </w:rPr>
        <w:t>OPTIONAL</w:t>
      </w:r>
      <w:r>
        <w:rPr>
          <w:rFonts w:eastAsia="宋体"/>
        </w:rPr>
        <w:t xml:space="preserve">, </w:t>
      </w:r>
      <w:r>
        <w:rPr>
          <w:rFonts w:eastAsia="宋体"/>
          <w:color w:val="808080"/>
        </w:rPr>
        <w:t>-- Need M</w:t>
      </w:r>
    </w:p>
    <w:p>
      <w:pPr>
        <w:pStyle w:val="68"/>
        <w:rPr>
          <w:color w:val="808080"/>
        </w:rPr>
      </w:pPr>
      <w:r>
        <w:rPr>
          <w:rFonts w:eastAsia="宋体"/>
        </w:rPr>
        <w:t xml:space="preserve">    qoe-AreaScope-r18                    Qoe-AreaScope-r18                                                         </w:t>
      </w:r>
      <w:r>
        <w:rPr>
          <w:color w:val="993366"/>
        </w:rPr>
        <w:t>OPTIONAL</w:t>
      </w:r>
      <w:r>
        <w:t>,</w:t>
      </w:r>
      <w:r>
        <w:rPr>
          <w:rFonts w:eastAsia="宋体"/>
        </w:rPr>
        <w:t xml:space="preserve"> </w:t>
      </w:r>
      <w:r>
        <w:rPr>
          <w:rFonts w:eastAsia="宋体"/>
          <w:color w:val="808080"/>
        </w:rPr>
        <w:t>-- Need M</w:t>
      </w:r>
    </w:p>
    <w:p>
      <w:pPr>
        <w:pStyle w:val="68"/>
        <w:rPr>
          <w:rFonts w:eastAsia="宋体"/>
          <w:color w:val="808080"/>
        </w:rPr>
      </w:pPr>
      <w:r>
        <w:t xml:space="preserve">    mce-Id-r18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w:t>
      </w:r>
      <w:r>
        <w:rPr>
          <w:rFonts w:eastAsia="宋体"/>
        </w:rPr>
        <w:t xml:space="preserve"> </w:t>
      </w:r>
      <w:r>
        <w:rPr>
          <w:rFonts w:eastAsia="宋体"/>
          <w:color w:val="808080"/>
        </w:rPr>
        <w:t>-- Need M</w:t>
      </w:r>
    </w:p>
    <w:p>
      <w:pPr>
        <w:pStyle w:val="68"/>
        <w:rPr>
          <w:color w:val="808080"/>
        </w:rPr>
      </w:pPr>
      <w:r>
        <w:rPr>
          <w:rFonts w:eastAsia="宋体"/>
        </w:rPr>
        <w:t xml:space="preserve">    availableRAN-VisibleMetrics-r18      AvailableRAN-VisibleMetrics-r18                                           </w:t>
      </w:r>
      <w:r>
        <w:rPr>
          <w:rFonts w:eastAsia="宋体"/>
          <w:color w:val="993366"/>
        </w:rPr>
        <w:t>OPTIONAL</w:t>
      </w:r>
      <w:r>
        <w:rPr>
          <w:rFonts w:eastAsia="宋体"/>
        </w:rPr>
        <w:t xml:space="preserve">, </w:t>
      </w:r>
      <w:r>
        <w:rPr>
          <w:rFonts w:eastAsia="宋体"/>
          <w:color w:val="808080"/>
        </w:rPr>
        <w:t>-- Need M</w:t>
      </w:r>
    </w:p>
    <w:p>
      <w:pPr>
        <w:pStyle w:val="68"/>
      </w:pPr>
      <w:r>
        <w:t xml:space="preserve">    ...</w:t>
      </w:r>
    </w:p>
    <w:p>
      <w:pPr>
        <w:pStyle w:val="68"/>
      </w:pPr>
      <w:r>
        <w:t>}</w:t>
      </w:r>
    </w:p>
    <w:p>
      <w:pPr>
        <w:pStyle w:val="68"/>
      </w:pPr>
    </w:p>
    <w:p>
      <w:pPr>
        <w:pStyle w:val="68"/>
      </w:pPr>
      <w:r>
        <w:t xml:space="preserve">Qoe-AreaScope-r18 ::=                </w:t>
      </w:r>
      <w:r>
        <w:rPr>
          <w:color w:val="993366"/>
        </w:rPr>
        <w:t>CHOICE</w:t>
      </w:r>
      <w:r>
        <w:t xml:space="preserve"> {</w:t>
      </w:r>
    </w:p>
    <w:p>
      <w:pPr>
        <w:pStyle w:val="68"/>
      </w:pPr>
      <w:r>
        <w:t xml:space="preserve">    cellGlobalIdList                     CellGlobalIdList-r16,</w:t>
      </w:r>
    </w:p>
    <w:p>
      <w:pPr>
        <w:pStyle w:val="68"/>
      </w:pPr>
      <w:r>
        <w:t xml:space="preserve">    trackingAreaCodeList                 TrackingAreaCodeList-r16,</w:t>
      </w:r>
    </w:p>
    <w:p>
      <w:pPr>
        <w:pStyle w:val="68"/>
      </w:pPr>
      <w:r>
        <w:t xml:space="preserve">    trackingAreaIdentityList             TrackingAreaIdentityList-r16,</w:t>
      </w:r>
    </w:p>
    <w:p>
      <w:pPr>
        <w:pStyle w:val="68"/>
      </w:pPr>
      <w:r>
        <w:t xml:space="preserve">    plmn-IdentityList                    PLMN-IdentityList2-r16,</w:t>
      </w:r>
    </w:p>
    <w:p>
      <w:pPr>
        <w:pStyle w:val="68"/>
      </w:pPr>
      <w:r>
        <w:t xml:space="preserve">    ...</w:t>
      </w:r>
    </w:p>
    <w:p>
      <w:pPr>
        <w:pStyle w:val="68"/>
      </w:pPr>
      <w:r>
        <w:t>}</w:t>
      </w:r>
    </w:p>
    <w:p>
      <w:pPr>
        <w:pStyle w:val="68"/>
      </w:pPr>
    </w:p>
    <w:p>
      <w:pPr>
        <w:pStyle w:val="68"/>
      </w:pPr>
      <w:r>
        <w:t xml:space="preserve">AvailableRAN-VisibleMetrics-r18 ::=  </w:t>
      </w:r>
      <w:r>
        <w:rPr>
          <w:color w:val="993366"/>
        </w:rPr>
        <w:t>SEQUENCE</w:t>
      </w:r>
      <w:r>
        <w:t xml:space="preserve"> {</w:t>
      </w:r>
    </w:p>
    <w:p>
      <w:pPr>
        <w:pStyle w:val="68"/>
        <w:rPr>
          <w:color w:val="808080"/>
        </w:rPr>
      </w:pPr>
      <w:r>
        <w:t xml:space="preserve">    appLayerBufferLevelList-r18          </w:t>
      </w:r>
      <w:r>
        <w:rPr>
          <w:color w:val="993366"/>
        </w:rPr>
        <w:t>ENUMERATED</w:t>
      </w:r>
      <w:r>
        <w:t xml:space="preserve"> {true}                                                         </w:t>
      </w:r>
      <w:r>
        <w:rPr>
          <w:color w:val="993366"/>
        </w:rPr>
        <w:t>OPTIONAL</w:t>
      </w:r>
      <w:r>
        <w:t xml:space="preserve">, </w:t>
      </w:r>
      <w:r>
        <w:rPr>
          <w:color w:val="808080"/>
        </w:rPr>
        <w:t>-- Need M</w:t>
      </w:r>
    </w:p>
    <w:p>
      <w:pPr>
        <w:pStyle w:val="68"/>
        <w:rPr>
          <w:color w:val="808080"/>
        </w:rPr>
      </w:pPr>
      <w:r>
        <w:t xml:space="preserve">    playoutDelayForMediaStartup-r18      </w:t>
      </w:r>
      <w:r>
        <w:rPr>
          <w:color w:val="993366"/>
        </w:rPr>
        <w:t>ENUMERATED</w:t>
      </w:r>
      <w:r>
        <w:t xml:space="preserve"> {true}                                                         </w:t>
      </w:r>
      <w:r>
        <w:rPr>
          <w:color w:val="993366"/>
        </w:rPr>
        <w:t>OPTIONAL</w:t>
      </w:r>
      <w:r>
        <w:t xml:space="preserve">, </w:t>
      </w:r>
      <w:r>
        <w:rPr>
          <w:color w:val="808080"/>
        </w:rPr>
        <w:t>-- Need M</w:t>
      </w:r>
    </w:p>
    <w:p>
      <w:pPr>
        <w:pStyle w:val="68"/>
      </w:pPr>
      <w:r>
        <w:t xml:space="preserve">    ...</w:t>
      </w:r>
    </w:p>
    <w:p>
      <w:pPr>
        <w:pStyle w:val="68"/>
      </w:pPr>
      <w:r>
        <w:t>}</w:t>
      </w:r>
    </w:p>
    <w:p>
      <w:pPr>
        <w:pStyle w:val="68"/>
      </w:pPr>
    </w:p>
    <w:p>
      <w:pPr>
        <w:pStyle w:val="68"/>
        <w:rPr>
          <w:color w:val="808080"/>
        </w:rPr>
      </w:pPr>
      <w:r>
        <w:rPr>
          <w:color w:val="808080"/>
        </w:rPr>
        <w:t>-- TAG-APPLAYERIDLEINACTIVECONFIG-STOP</w:t>
      </w:r>
    </w:p>
    <w:p>
      <w:pPr>
        <w:pStyle w:val="68"/>
        <w:rPr>
          <w:color w:val="808080"/>
        </w:rPr>
      </w:pPr>
      <w:r>
        <w:rPr>
          <w:color w:val="808080"/>
        </w:rPr>
        <w:t>-- ASN1STOP</w:t>
      </w:r>
    </w:p>
    <w:p>
      <w:pPr>
        <w:rPr>
          <w:lang w:eastAsia="en-GB"/>
        </w:rPr>
      </w:pPr>
    </w:p>
    <w:tbl>
      <w:tblPr>
        <w:tblStyle w:val="43"/>
        <w:tblW w:w="14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5"/>
              <w:rPr>
                <w:szCs w:val="22"/>
                <w:lang w:eastAsia="sv-SE"/>
              </w:rPr>
            </w:pPr>
            <w:r>
              <w:rPr>
                <w:i/>
                <w:szCs w:val="22"/>
                <w:lang w:eastAsia="sv-SE"/>
              </w:rPr>
              <w:t xml:space="preserve">AppLayerIdleInactiveConfig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appLayerBufferLevelList</w:t>
            </w:r>
          </w:p>
          <w:p>
            <w:pPr>
              <w:pStyle w:val="57"/>
              <w:rPr>
                <w:b/>
                <w:i/>
                <w:szCs w:val="22"/>
                <w:lang w:eastAsia="sv-SE"/>
              </w:rPr>
            </w:pPr>
            <w:r>
              <w:rPr>
                <w:szCs w:val="22"/>
                <w:lang w:eastAsia="sv-SE"/>
              </w:rPr>
              <w:t>The field defines whether the buffer level for DASH streaming and VR service types can be collected as a RAN visible QoE metric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qoe-AreaScope</w:t>
            </w:r>
          </w:p>
          <w:p>
            <w:pPr>
              <w:pStyle w:val="57"/>
              <w:rPr>
                <w:b/>
                <w:i/>
                <w:szCs w:val="22"/>
                <w:lang w:eastAsia="sv-SE"/>
              </w:rPr>
            </w:pPr>
            <w:r>
              <w:rPr>
                <w:szCs w:val="22"/>
                <w:lang w:eastAsia="sv-SE"/>
              </w:rPr>
              <w:t>The field contains the area where the application layer measurement shall start if an application layer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qoe-MeasurementType</w:t>
            </w:r>
          </w:p>
          <w:p>
            <w:pPr>
              <w:pStyle w:val="57"/>
              <w:rPr>
                <w:szCs w:val="22"/>
                <w:lang w:eastAsia="sv-SE"/>
              </w:rPr>
            </w:pPr>
            <w:r>
              <w:rPr>
                <w:szCs w:val="22"/>
                <w:lang w:eastAsia="sv-SE"/>
              </w:rPr>
              <w:t>Indicates whether the application layer measurement is signalling based or management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qoe-Reference</w:t>
            </w:r>
          </w:p>
          <w:p>
            <w:pPr>
              <w:pStyle w:val="57"/>
              <w:rPr>
                <w:b/>
                <w:i/>
                <w:szCs w:val="22"/>
                <w:lang w:eastAsia="sv-SE"/>
              </w:rPr>
            </w:pPr>
            <w:r>
              <w:rPr>
                <w:bCs/>
                <w:iCs/>
                <w:szCs w:val="22"/>
                <w:lang w:eastAsia="sv-SE"/>
              </w:rPr>
              <w:t>Indicates the QoE Reference as defined in TS 28.405 [55], clause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mce-id</w:t>
            </w:r>
          </w:p>
          <w:p>
            <w:pPr>
              <w:pStyle w:val="57"/>
              <w:rPr>
                <w:bCs/>
                <w:iCs/>
                <w:szCs w:val="22"/>
                <w:lang w:eastAsia="sv-SE"/>
              </w:rPr>
            </w:pPr>
            <w:r>
              <w:rPr>
                <w:bCs/>
                <w:iCs/>
                <w:szCs w:val="22"/>
                <w:lang w:eastAsia="sv-SE"/>
              </w:rPr>
              <w:t>The field contains the Measurement Collection Entity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playoutDelayForMediaStartup</w:t>
            </w:r>
          </w:p>
          <w:p>
            <w:pPr>
              <w:pStyle w:val="57"/>
              <w:rPr>
                <w:bCs/>
                <w:iCs/>
                <w:szCs w:val="22"/>
                <w:lang w:eastAsia="sv-SE"/>
              </w:rPr>
            </w:pPr>
            <w:r>
              <w:rPr>
                <w:bCs/>
                <w:iCs/>
                <w:szCs w:val="22"/>
                <w:lang w:eastAsia="sv-SE"/>
              </w:rPr>
              <w:t>The field defines whether the playout delay for DASH streaming and VR service types can be collected as a RAN visible QoE metric from the UE.</w:t>
            </w:r>
          </w:p>
        </w:tc>
      </w:tr>
    </w:tbl>
    <w:p>
      <w:pPr>
        <w:rPr>
          <w:lang w:eastAsia="zh-CN"/>
        </w:rPr>
      </w:pPr>
    </w:p>
    <w:p>
      <w:pPr>
        <w:rPr>
          <w:rFonts w:hint="default"/>
          <w:lang w:val="en-US"/>
        </w:rPr>
      </w:pPr>
    </w:p>
    <w:p>
      <w:pPr>
        <w:pStyle w:val="5"/>
        <w:rPr>
          <w:i/>
          <w:iCs/>
        </w:rPr>
      </w:pPr>
      <w:r>
        <w:t>–</w:t>
      </w:r>
      <w:r>
        <w:tab/>
      </w:r>
      <w:r>
        <w:rPr>
          <w:i/>
          <w:iCs/>
        </w:rPr>
        <w:t>AppLayerMeasConfig</w:t>
      </w:r>
    </w:p>
    <w:p>
      <w:pPr>
        <w:keepNext/>
        <w:keepLines/>
        <w:rPr>
          <w:iCs/>
        </w:rPr>
      </w:pPr>
      <w:r>
        <w:t xml:space="preserve">The IE </w:t>
      </w:r>
      <w:r>
        <w:rPr>
          <w:i/>
        </w:rPr>
        <w:t>AppLayerMeasConfig</w:t>
      </w:r>
      <w:r>
        <w:rPr>
          <w:iCs/>
        </w:rPr>
        <w:t xml:space="preserve"> indicates configuration of application layer measurements.</w:t>
      </w:r>
    </w:p>
    <w:p>
      <w:pPr>
        <w:pStyle w:val="59"/>
        <w:outlineLvl w:val="0"/>
      </w:pPr>
      <w:r>
        <w:rPr>
          <w:bCs/>
          <w:i/>
          <w:iCs/>
        </w:rPr>
        <w:t xml:space="preserve">AppLayerMeasConfig </w:t>
      </w:r>
      <w:r>
        <w:t>information element</w:t>
      </w:r>
    </w:p>
    <w:p>
      <w:pPr>
        <w:pStyle w:val="68"/>
        <w:rPr>
          <w:color w:val="808080"/>
        </w:rPr>
      </w:pPr>
      <w:r>
        <w:rPr>
          <w:color w:val="808080"/>
        </w:rPr>
        <w:t>-- ASN1START</w:t>
      </w:r>
    </w:p>
    <w:p>
      <w:pPr>
        <w:pStyle w:val="68"/>
        <w:rPr>
          <w:color w:val="808080"/>
        </w:rPr>
      </w:pPr>
      <w:r>
        <w:rPr>
          <w:color w:val="808080"/>
        </w:rPr>
        <w:t>-- TAG-APPLAYERMEASCONFIG-START</w:t>
      </w:r>
    </w:p>
    <w:p>
      <w:pPr>
        <w:pStyle w:val="68"/>
      </w:pPr>
    </w:p>
    <w:p>
      <w:pPr>
        <w:pStyle w:val="68"/>
      </w:pPr>
      <w:r>
        <w:t xml:space="preserve">AppLayerMeasConfig-r17 ::=           </w:t>
      </w:r>
      <w:r>
        <w:rPr>
          <w:color w:val="993366"/>
        </w:rPr>
        <w:t>SEQUENCE</w:t>
      </w:r>
      <w:r>
        <w:t xml:space="preserve"> {</w:t>
      </w:r>
    </w:p>
    <w:p>
      <w:pPr>
        <w:pStyle w:val="68"/>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pPr>
        <w:pStyle w:val="68"/>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pPr>
        <w:pStyle w:val="68"/>
        <w:rPr>
          <w:color w:val="808080"/>
        </w:rPr>
      </w:pPr>
      <w:r>
        <w:t xml:space="preserve">    </w:t>
      </w:r>
      <w:r>
        <w:rPr>
          <w:rFonts w:eastAsia="宋体"/>
        </w:rPr>
        <w:t>rrc-SegAllowedSRB4-r17</w:t>
      </w:r>
      <w:r>
        <w:t xml:space="preserve">               </w:t>
      </w:r>
      <w:r>
        <w:rPr>
          <w:color w:val="993366"/>
        </w:rPr>
        <w:t>ENUMERATED</w:t>
      </w:r>
      <w:r>
        <w:t xml:space="preserve"> {enabled}                                                       </w:t>
      </w:r>
      <w:r>
        <w:rPr>
          <w:color w:val="993366"/>
        </w:rPr>
        <w:t>OPTIONAL</w:t>
      </w:r>
      <w:r>
        <w:t xml:space="preserve">, </w:t>
      </w:r>
      <w:r>
        <w:rPr>
          <w:color w:val="808080"/>
        </w:rPr>
        <w:t>-- Need R</w:t>
      </w:r>
    </w:p>
    <w:p>
      <w:pPr>
        <w:pStyle w:val="68"/>
      </w:pPr>
      <w:r>
        <w:t xml:space="preserve">    ...,</w:t>
      </w:r>
    </w:p>
    <w:p>
      <w:pPr>
        <w:pStyle w:val="68"/>
      </w:pPr>
      <w:r>
        <w:t xml:space="preserve">    [[</w:t>
      </w:r>
    </w:p>
    <w:p>
      <w:pPr>
        <w:pStyle w:val="68"/>
        <w:rPr>
          <w:color w:val="808080"/>
        </w:rPr>
      </w:pPr>
      <w:r>
        <w:t xml:space="preserve">    </w:t>
      </w:r>
      <w:r>
        <w:rPr>
          <w:rFonts w:eastAsia="宋体"/>
        </w:rPr>
        <w:t>rrc-SegAllowedSRB5-r18</w:t>
      </w:r>
      <w:r>
        <w:t xml:space="preserve">               </w:t>
      </w:r>
      <w:r>
        <w:rPr>
          <w:color w:val="993366"/>
        </w:rPr>
        <w:t>ENUMERATED</w:t>
      </w:r>
      <w:r>
        <w:t xml:space="preserve"> {enabled}                                                       </w:t>
      </w:r>
      <w:r>
        <w:rPr>
          <w:color w:val="993366"/>
        </w:rPr>
        <w:t>OPTIONAL</w:t>
      </w:r>
      <w:r>
        <w:t xml:space="preserve">, </w:t>
      </w:r>
      <w:r>
        <w:rPr>
          <w:color w:val="808080"/>
        </w:rPr>
        <w:t>-- Need R</w:t>
      </w:r>
    </w:p>
    <w:p>
      <w:pPr>
        <w:pStyle w:val="68"/>
        <w:rPr>
          <w:color w:val="808080"/>
        </w:rPr>
      </w:pPr>
      <w:r>
        <w:t xml:space="preserve">    idleInactiveReportAllowed-r18        </w:t>
      </w:r>
      <w:r>
        <w:rPr>
          <w:color w:val="993366"/>
        </w:rPr>
        <w:t>ENUMERATED</w:t>
      </w:r>
      <w:r>
        <w:t xml:space="preserve"> {enabled}                                                       </w:t>
      </w:r>
      <w:r>
        <w:rPr>
          <w:color w:val="993366"/>
        </w:rPr>
        <w:t>OPTIONAL</w:t>
      </w:r>
      <w:r>
        <w:t xml:space="preserve">  </w:t>
      </w:r>
      <w:r>
        <w:rPr>
          <w:color w:val="808080"/>
        </w:rPr>
        <w:t>-- Need R</w:t>
      </w:r>
    </w:p>
    <w:p>
      <w:pPr>
        <w:pStyle w:val="68"/>
      </w:pPr>
      <w:r>
        <w:t xml:space="preserve">    ]]</w:t>
      </w:r>
    </w:p>
    <w:p>
      <w:pPr>
        <w:pStyle w:val="68"/>
      </w:pPr>
      <w:r>
        <w:t>}</w:t>
      </w:r>
    </w:p>
    <w:p>
      <w:pPr>
        <w:pStyle w:val="68"/>
      </w:pPr>
    </w:p>
    <w:p>
      <w:pPr>
        <w:pStyle w:val="68"/>
      </w:pPr>
      <w:r>
        <w:t xml:space="preserve">MeasConfigAppLayer-r17 ::=           </w:t>
      </w:r>
      <w:r>
        <w:rPr>
          <w:color w:val="993366"/>
        </w:rPr>
        <w:t>SEQUENCE</w:t>
      </w:r>
      <w:r>
        <w:t xml:space="preserve"> {</w:t>
      </w:r>
    </w:p>
    <w:p>
      <w:pPr>
        <w:pStyle w:val="68"/>
      </w:pPr>
      <w:r>
        <w:t xml:space="preserve">    measConfigAppLayerId-r17             MeasConfigAppLayerId-r17,</w:t>
      </w:r>
    </w:p>
    <w:p>
      <w:pPr>
        <w:pStyle w:val="68"/>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pPr>
        <w:pStyle w:val="68"/>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pPr>
        <w:pStyle w:val="68"/>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pPr>
        <w:pStyle w:val="68"/>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pPr>
        <w:pStyle w:val="68"/>
        <w:rPr>
          <w:color w:val="808080"/>
        </w:rPr>
      </w:pPr>
      <w:r>
        <w:t xml:space="preserve">    ran-VisibleParameters-r17            SetupRelease {RAN-VisibleParameters-r17}                         </w:t>
      </w:r>
      <w:r>
        <w:rPr>
          <w:color w:val="993366"/>
        </w:rPr>
        <w:t>OPTIONAL</w:t>
      </w:r>
      <w:r>
        <w:t xml:space="preserve">, </w:t>
      </w:r>
      <w:r>
        <w:rPr>
          <w:color w:val="808080"/>
        </w:rPr>
        <w:t>-- Cond ServiceType</w:t>
      </w:r>
    </w:p>
    <w:p>
      <w:pPr>
        <w:pStyle w:val="68"/>
      </w:pPr>
      <w:r>
        <w:t xml:space="preserve">    ...,</w:t>
      </w:r>
    </w:p>
    <w:p>
      <w:pPr>
        <w:pStyle w:val="68"/>
      </w:pPr>
      <w:r>
        <w:t xml:space="preserve">    [[</w:t>
      </w:r>
    </w:p>
    <w:p>
      <w:pPr>
        <w:pStyle w:val="68"/>
        <w:rPr>
          <w:color w:val="808080"/>
        </w:rPr>
      </w:pPr>
      <w:r>
        <w:t xml:space="preserve">    reportingSRB-r18                     </w:t>
      </w:r>
      <w:r>
        <w:rPr>
          <w:color w:val="993366"/>
        </w:rPr>
        <w:t>ENUMERATED</w:t>
      </w:r>
      <w:r>
        <w:t xml:space="preserve"> {srb4, srb5}                                                    </w:t>
      </w:r>
      <w:r>
        <w:rPr>
          <w:color w:val="993366"/>
        </w:rPr>
        <w:t>OPTIONAL</w:t>
      </w:r>
      <w:r>
        <w:t xml:space="preserve">, </w:t>
      </w:r>
      <w:r>
        <w:rPr>
          <w:color w:val="808080"/>
        </w:rPr>
        <w:t>-- Cond QoENRDC</w:t>
      </w:r>
    </w:p>
    <w:p>
      <w:pPr>
        <w:pStyle w:val="68"/>
        <w:rPr>
          <w:color w:val="808080"/>
        </w:rPr>
      </w:pPr>
      <w:r>
        <w:t xml:space="preserve">    appLayerMeasPriority-r18             </w:t>
      </w:r>
      <w:r>
        <w:rPr>
          <w:color w:val="993366"/>
        </w:rPr>
        <w:t>INTEGER</w:t>
      </w:r>
      <w:r>
        <w:t xml:space="preserve"> (1..16)                                                      </w:t>
      </w:r>
      <w:r>
        <w:rPr>
          <w:color w:val="993366"/>
        </w:rPr>
        <w:t>OPTIONAL</w:t>
      </w:r>
      <w:r>
        <w:t xml:space="preserve">, </w:t>
      </w:r>
      <w:r>
        <w:rPr>
          <w:color w:val="808080"/>
        </w:rPr>
        <w:t>-- Cond Need M</w:t>
      </w:r>
    </w:p>
    <w:p>
      <w:pPr>
        <w:pStyle w:val="68"/>
        <w:rPr>
          <w:color w:val="808080"/>
        </w:rPr>
      </w:pPr>
      <w:r>
        <w:t xml:space="preserve">    </w:t>
      </w:r>
      <w:r>
        <w:rPr>
          <w:highlight w:val="yellow"/>
        </w:rPr>
        <w:t>appLayerIdleInactiveConfig</w:t>
      </w:r>
      <w:r>
        <w:t xml:space="preserve">-r18       SetupRelease {AppLayerIdleInactiveConfig-r18}                              </w:t>
      </w:r>
      <w:r>
        <w:rPr>
          <w:color w:val="993366"/>
        </w:rPr>
        <w:t>OPTIONAL</w:t>
      </w:r>
      <w:r>
        <w:t xml:space="preserve">  </w:t>
      </w:r>
      <w:r>
        <w:rPr>
          <w:color w:val="808080"/>
        </w:rPr>
        <w:t>-- Need M</w:t>
      </w:r>
    </w:p>
    <w:p>
      <w:pPr>
        <w:pStyle w:val="68"/>
      </w:pPr>
      <w:r>
        <w:t xml:space="preserve">    ]]</w:t>
      </w:r>
    </w:p>
    <w:p>
      <w:pPr>
        <w:pStyle w:val="68"/>
      </w:pPr>
      <w:r>
        <w:t>}</w:t>
      </w:r>
    </w:p>
    <w:p>
      <w:pPr>
        <w:pStyle w:val="68"/>
      </w:pPr>
    </w:p>
    <w:p>
      <w:pPr>
        <w:pStyle w:val="68"/>
      </w:pPr>
      <w:r>
        <w:t xml:space="preserve">RAN-VisibleParameters-r17 ::=        </w:t>
      </w:r>
      <w:r>
        <w:rPr>
          <w:color w:val="993366"/>
        </w:rPr>
        <w:t>SEQUENCE</w:t>
      </w:r>
      <w:r>
        <w:t xml:space="preserve"> {</w:t>
      </w:r>
    </w:p>
    <w:p>
      <w:pPr>
        <w:pStyle w:val="68"/>
        <w:rPr>
          <w:color w:val="808080"/>
        </w:rPr>
      </w:pPr>
      <w:r>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pPr>
        <w:pStyle w:val="68"/>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pPr>
        <w:pStyle w:val="68"/>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pPr>
        <w:pStyle w:val="68"/>
      </w:pPr>
      <w:r>
        <w:t xml:space="preserve">    ...,</w:t>
      </w:r>
    </w:p>
    <w:p>
      <w:pPr>
        <w:pStyle w:val="68"/>
      </w:pPr>
      <w:r>
        <w:t xml:space="preserve">    [[</w:t>
      </w:r>
    </w:p>
    <w:p>
      <w:pPr>
        <w:pStyle w:val="68"/>
        <w:rPr>
          <w:color w:val="808080"/>
        </w:rPr>
      </w:pPr>
      <w:r>
        <w:t xml:space="preserve">    ran-VisibleReportingSRB-r18          </w:t>
      </w:r>
      <w:r>
        <w:rPr>
          <w:color w:val="993366"/>
        </w:rPr>
        <w:t>ENUMERATED</w:t>
      </w:r>
      <w:r>
        <w:t xml:space="preserve"> {srb4, srb5}                                              </w:t>
      </w:r>
      <w:r>
        <w:rPr>
          <w:color w:val="993366"/>
        </w:rPr>
        <w:t>OPTIONAL</w:t>
      </w:r>
      <w:r>
        <w:t xml:space="preserve">  </w:t>
      </w:r>
      <w:r>
        <w:rPr>
          <w:color w:val="808080"/>
        </w:rPr>
        <w:t>-- Cond QoENRDC</w:t>
      </w:r>
    </w:p>
    <w:p>
      <w:pPr>
        <w:pStyle w:val="68"/>
      </w:pPr>
      <w:r>
        <w:t xml:space="preserve">    ]]</w:t>
      </w:r>
    </w:p>
    <w:p>
      <w:pPr>
        <w:pStyle w:val="68"/>
      </w:pPr>
      <w:r>
        <w:t>}</w:t>
      </w:r>
    </w:p>
    <w:p>
      <w:pPr>
        <w:pStyle w:val="68"/>
      </w:pPr>
    </w:p>
    <w:p>
      <w:pPr>
        <w:pStyle w:val="68"/>
        <w:rPr>
          <w:color w:val="808080"/>
        </w:rPr>
      </w:pPr>
      <w:r>
        <w:rPr>
          <w:color w:val="808080"/>
        </w:rPr>
        <w:t>-- TAG-APPLAYERMEASCONFIG-STOP</w:t>
      </w:r>
    </w:p>
    <w:p>
      <w:pPr>
        <w:pStyle w:val="68"/>
        <w:rPr>
          <w:color w:val="808080"/>
        </w:rPr>
      </w:pPr>
      <w:r>
        <w:rPr>
          <w:color w:val="808080"/>
        </w:rPr>
        <w:t>-- ASN1STOP</w:t>
      </w:r>
    </w:p>
    <w:p>
      <w:pPr>
        <w:rPr>
          <w:lang w:eastAsia="en-GB"/>
        </w:rPr>
      </w:pPr>
    </w:p>
    <w:tbl>
      <w:tblPr>
        <w:tblStyle w:val="43"/>
        <w:tblW w:w="14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5"/>
              <w:rPr>
                <w:szCs w:val="22"/>
                <w:lang w:eastAsia="sv-SE"/>
              </w:rPr>
            </w:pPr>
            <w:r>
              <w:rPr>
                <w:i/>
                <w:szCs w:val="22"/>
                <w:lang w:eastAsia="sv-SE"/>
              </w:rPr>
              <w:t xml:space="preserve">AppLayerMeasConfig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appLayerMeasPriority</w:t>
            </w:r>
          </w:p>
          <w:p>
            <w:pPr>
              <w:pStyle w:val="57"/>
              <w:rPr>
                <w:b/>
                <w:i/>
                <w:szCs w:val="22"/>
                <w:lang w:eastAsia="sv-SE"/>
              </w:rPr>
            </w:pPr>
            <w:r>
              <w:rPr>
                <w:szCs w:val="22"/>
                <w:lang w:eastAsia="sv-SE"/>
              </w:rPr>
              <w:t>The field indicates the priority of the application layer measurement configuration, where a higher value indicates lower priority. If the field is not configured, the application layer measurement configuration has the lowest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idleInactiveReportAllowed</w:t>
            </w:r>
          </w:p>
          <w:p>
            <w:pPr>
              <w:pStyle w:val="57"/>
              <w:rPr>
                <w:b/>
                <w:i/>
                <w:szCs w:val="22"/>
                <w:lang w:eastAsia="sv-SE"/>
              </w:rPr>
            </w:pPr>
            <w:r>
              <w:rPr>
                <w:szCs w:val="22"/>
                <w:lang w:eastAsia="sv-SE"/>
              </w:rPr>
              <w:t>The field indicates whether transmission of application layer measurement configurations and reports for application layer measurements applicable to RRC_IDLE and/or RRC_INACTIVE is allowed in the cell where the field is received. If the field is not configured, transmission of application layer measurement reports and configurations for RRC_IDLE/RRC_INACTIVE is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measConfigAppLayerContainer</w:t>
            </w:r>
          </w:p>
          <w:p>
            <w:pPr>
              <w:pStyle w:val="57"/>
              <w:rPr>
                <w:szCs w:val="22"/>
                <w:lang w:eastAsia="sv-SE"/>
              </w:rPr>
            </w:pPr>
            <w:r>
              <w:rPr>
                <w:szCs w:val="22"/>
                <w:lang w:eastAsia="sv-SE"/>
              </w:rPr>
              <w:t>The field contains configuration of application layer measurements, see Annex L (normative) in TS 26.247 [68], clause 16.5 in TS 26.114 [69] and TS 26.118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measConfigAppLayerId</w:t>
            </w:r>
          </w:p>
          <w:p>
            <w:pPr>
              <w:pStyle w:val="57"/>
              <w:rPr>
                <w:b/>
                <w:i/>
                <w:szCs w:val="22"/>
                <w:lang w:eastAsia="sv-SE"/>
              </w:rPr>
            </w:pPr>
            <w:r>
              <w:rPr>
                <w:szCs w:val="22"/>
                <w:lang w:eastAsia="sv-SE"/>
              </w:rPr>
              <w:t xml:space="preserve">The field contains the identity of the application layer measurements. When application layer measurements are configured for an SCG, the </w:t>
            </w:r>
            <w:r>
              <w:rPr>
                <w:i/>
                <w:iCs/>
                <w:szCs w:val="22"/>
                <w:lang w:eastAsia="sv-SE"/>
              </w:rPr>
              <w:t>measConfigAppLayerId</w:t>
            </w:r>
            <w:r>
              <w:rPr>
                <w:szCs w:val="22"/>
                <w:lang w:eastAsia="sv-SE"/>
              </w:rPr>
              <w:t xml:space="preserve"> is obtained according to TS 38.423 [37], clauses 8.3.1 and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pauseReporting</w:t>
            </w:r>
          </w:p>
          <w:p>
            <w:pPr>
              <w:pStyle w:val="57"/>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ran-VisibleParameters</w:t>
            </w:r>
          </w:p>
          <w:p>
            <w:pPr>
              <w:pStyle w:val="57"/>
              <w:rPr>
                <w:szCs w:val="22"/>
                <w:lang w:eastAsia="sv-SE"/>
              </w:rPr>
            </w:pPr>
            <w:r>
              <w:rPr>
                <w:szCs w:val="22"/>
                <w:lang w:eastAsia="sv-SE"/>
              </w:rPr>
              <w:t>The field indicates whether RAN visible application layer measurements shall be reported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ran-VisibleReportingSRB</w:t>
            </w:r>
          </w:p>
          <w:p>
            <w:pPr>
              <w:pStyle w:val="57"/>
              <w:rPr>
                <w:b/>
                <w:i/>
                <w:szCs w:val="22"/>
                <w:lang w:eastAsia="sv-SE"/>
              </w:rPr>
            </w:pPr>
            <w:r>
              <w:rPr>
                <w:szCs w:val="22"/>
                <w:lang w:eastAsia="sv-SE"/>
              </w:rPr>
              <w:t>The field indicates the SRB to be used for transmission of RAN visible application layer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reportingSRB</w:t>
            </w:r>
          </w:p>
          <w:p>
            <w:pPr>
              <w:pStyle w:val="57"/>
              <w:rPr>
                <w:b/>
                <w:i/>
                <w:szCs w:val="22"/>
                <w:lang w:eastAsia="sv-SE"/>
              </w:rPr>
            </w:pPr>
            <w:r>
              <w:rPr>
                <w:szCs w:val="22"/>
                <w:lang w:eastAsia="sv-SE"/>
              </w:rPr>
              <w:t>The field indicates the SRB to be used for transmission of encapsulated application layer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rrc-SegAllowedSRB4</w:t>
            </w:r>
          </w:p>
          <w:p>
            <w:pPr>
              <w:pStyle w:val="57"/>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enabled on SRB4. The field is only configured for an MCG.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w:t>
            </w:r>
            <w:r>
              <w:rPr>
                <w:b/>
                <w:i/>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rrc-SegAllowedSRB5</w:t>
            </w:r>
          </w:p>
          <w:p>
            <w:pPr>
              <w:pStyle w:val="57"/>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enabled on SRB5. The field is only configured for an SCG.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w:t>
            </w:r>
            <w:r>
              <w:rPr>
                <w:b/>
                <w:i/>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serviceType</w:t>
            </w:r>
          </w:p>
          <w:p>
            <w:pPr>
              <w:pStyle w:val="57"/>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and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transmissionOfSessionStartStop</w:t>
            </w:r>
          </w:p>
          <w:p>
            <w:pPr>
              <w:pStyle w:val="57"/>
              <w:rPr>
                <w:szCs w:val="22"/>
                <w:lang w:eastAsia="sv-SE"/>
              </w:rPr>
            </w:pPr>
            <w:r>
              <w:rPr>
                <w:szCs w:val="22"/>
                <w:lang w:eastAsia="sv-SE"/>
              </w:rPr>
              <w:t>Value</w:t>
            </w:r>
            <w:r>
              <w:rPr>
                <w:i/>
                <w:iCs/>
                <w:szCs w:val="22"/>
                <w:lang w:eastAsia="sv-SE"/>
              </w:rPr>
              <w:t xml:space="preserve"> true</w:t>
            </w:r>
            <w:r>
              <w:rPr>
                <w:szCs w:val="22"/>
                <w:lang w:eastAsia="sv-SE"/>
              </w:rPr>
              <w:t xml:space="preserve"> indicates that the UE shall transmit indications when the measurement session in the application layer starts and stops. Value </w:t>
            </w:r>
            <w:r>
              <w:rPr>
                <w:i/>
                <w:iCs/>
                <w:szCs w:val="22"/>
                <w:lang w:eastAsia="sv-SE"/>
              </w:rPr>
              <w:t>false</w:t>
            </w:r>
            <w:r>
              <w:rPr>
                <w:szCs w:val="22"/>
                <w:lang w:eastAsia="sv-SE"/>
              </w:rPr>
              <w:t xml:space="preserve"> indicates that the UE shall not transmit any session status indications. The UE transmits a session start indication upon configuration of this field set to value </w:t>
            </w:r>
            <w:r>
              <w:rPr>
                <w:i/>
                <w:iCs/>
                <w:szCs w:val="22"/>
                <w:lang w:eastAsia="sv-SE"/>
              </w:rPr>
              <w:t>true</w:t>
            </w:r>
            <w:r>
              <w:rPr>
                <w:szCs w:val="22"/>
                <w:lang w:eastAsia="sv-SE"/>
              </w:rPr>
              <w:t xml:space="preserve"> if a session already has started in the application layer.</w:t>
            </w:r>
          </w:p>
        </w:tc>
      </w:tr>
    </w:tbl>
    <w:p>
      <w:pPr>
        <w:rPr>
          <w:lang w:eastAsia="zh-CN"/>
        </w:rPr>
      </w:pPr>
    </w:p>
    <w:tbl>
      <w:tblPr>
        <w:tblStyle w:val="43"/>
        <w:tblW w:w="141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2" w:type="dxa"/>
            <w:tcBorders>
              <w:top w:val="single" w:color="auto" w:sz="4" w:space="0"/>
              <w:left w:val="single" w:color="auto" w:sz="4" w:space="0"/>
              <w:bottom w:val="single" w:color="auto" w:sz="4" w:space="0"/>
              <w:right w:val="single" w:color="auto" w:sz="4" w:space="0"/>
            </w:tcBorders>
          </w:tcPr>
          <w:p>
            <w:pPr>
              <w:pStyle w:val="55"/>
              <w:rPr>
                <w:szCs w:val="22"/>
                <w:lang w:eastAsia="sv-SE"/>
              </w:rPr>
            </w:pPr>
            <w:r>
              <w:rPr>
                <w:i/>
                <w:szCs w:val="22"/>
                <w:lang w:eastAsia="sv-SE"/>
              </w:rPr>
              <w:t xml:space="preserve">RAN-VisibleParameters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numberOfBufferLevelEntries</w:t>
            </w:r>
          </w:p>
          <w:p>
            <w:pPr>
              <w:pStyle w:val="57"/>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ran-VisiblePeriodicity</w:t>
            </w:r>
          </w:p>
          <w:p>
            <w:pPr>
              <w:pStyle w:val="57"/>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measurements reporting is the same as the reporting periodicity indicated in </w:t>
            </w:r>
            <w:r>
              <w:rPr>
                <w:i/>
                <w:szCs w:val="22"/>
                <w:lang w:eastAsia="sv-SE"/>
              </w:rPr>
              <w:t>measConfigAppLayerContainer.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2" w:type="dxa"/>
            <w:tcBorders>
              <w:top w:val="single" w:color="auto" w:sz="4" w:space="0"/>
              <w:left w:val="single" w:color="auto" w:sz="4" w:space="0"/>
              <w:bottom w:val="single" w:color="auto" w:sz="4" w:space="0"/>
              <w:right w:val="single" w:color="auto" w:sz="4" w:space="0"/>
            </w:tcBorders>
          </w:tcPr>
          <w:p>
            <w:pPr>
              <w:pStyle w:val="57"/>
              <w:rPr>
                <w:b/>
                <w:i/>
                <w:szCs w:val="22"/>
                <w:lang w:eastAsia="sv-SE"/>
              </w:rPr>
            </w:pPr>
            <w:r>
              <w:rPr>
                <w:b/>
                <w:i/>
                <w:szCs w:val="22"/>
                <w:lang w:eastAsia="sv-SE"/>
              </w:rPr>
              <w:t>reportPlayoutDelayForMediaStartup</w:t>
            </w:r>
          </w:p>
          <w:p>
            <w:pPr>
              <w:pStyle w:val="57"/>
              <w:rPr>
                <w:b/>
                <w:i/>
                <w:szCs w:val="22"/>
                <w:lang w:eastAsia="sv-SE"/>
              </w:rPr>
            </w:pPr>
            <w:r>
              <w:rPr>
                <w:szCs w:val="22"/>
                <w:lang w:eastAsia="sv-SE"/>
              </w:rPr>
              <w:t>The field indicates whether the UE shall report Playout Delay for Media Startup for RAN visible application layer measurements.</w:t>
            </w:r>
          </w:p>
        </w:tc>
      </w:tr>
    </w:tbl>
    <w:p>
      <w:pPr>
        <w:rPr>
          <w:lang w:eastAsia="zh-CN"/>
        </w:rPr>
      </w:pPr>
    </w:p>
    <w:p>
      <w:pPr>
        <w:rPr>
          <w:lang w:eastAsia="zh-CN"/>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10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2"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Conditional Presence</w:t>
            </w:r>
          </w:p>
        </w:tc>
        <w:tc>
          <w:tcPr>
            <w:tcW w:w="10773"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57"/>
              <w:rPr>
                <w:lang w:eastAsia="zh-CN"/>
              </w:rPr>
            </w:pPr>
            <w:r>
              <w:rPr>
                <w:i/>
                <w:iCs/>
                <w:lang w:eastAsia="zh-CN"/>
              </w:rPr>
              <w:t>QoENRDC</w:t>
            </w:r>
          </w:p>
        </w:tc>
        <w:tc>
          <w:tcPr>
            <w:tcW w:w="1077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This field is optionally present, Need M, when QoE for an NR-DC configuration is configured, i.e. when either QoE for an SCG is configured or when SRB5 is configured.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57"/>
              <w:rPr>
                <w:i/>
                <w:iCs/>
                <w:lang w:eastAsia="zh-CN"/>
              </w:rPr>
            </w:pPr>
            <w:r>
              <w:rPr>
                <w:i/>
                <w:iCs/>
                <w:lang w:eastAsia="zh-CN"/>
              </w:rPr>
              <w:t>ServiceType</w:t>
            </w:r>
          </w:p>
        </w:tc>
        <w:tc>
          <w:tcPr>
            <w:tcW w:w="1077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pPr>
        <w:rPr>
          <w:lang w:eastAsia="zh-CN"/>
        </w:rPr>
      </w:pPr>
    </w:p>
    <w:p>
      <w:pPr>
        <w:rPr>
          <w:rFonts w:hint="default"/>
          <w:lang w:val="en-US"/>
        </w:rPr>
      </w:pPr>
    </w:p>
    <w:sectPr>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A2C11"/>
    <w:multiLevelType w:val="singleLevel"/>
    <w:tmpl w:val="8EBA2C11"/>
    <w:lvl w:ilvl="0" w:tentative="0">
      <w:start w:val="1"/>
      <w:numFmt w:val="bullet"/>
      <w:lvlText w:val=""/>
      <w:lvlJc w:val="left"/>
      <w:pPr>
        <w:ind w:left="420" w:hanging="420"/>
      </w:pPr>
      <w:rPr>
        <w:rFonts w:hint="default" w:ascii="Wingdings" w:hAnsi="Wingdings"/>
      </w:rPr>
    </w:lvl>
  </w:abstractNum>
  <w:abstractNum w:abstractNumId="1">
    <w:nsid w:val="B2B30913"/>
    <w:multiLevelType w:val="singleLevel"/>
    <w:tmpl w:val="B2B30913"/>
    <w:lvl w:ilvl="0" w:tentative="0">
      <w:start w:val="2"/>
      <w:numFmt w:val="decimal"/>
      <w:lvlText w:val="%1"/>
      <w:lvlJc w:val="left"/>
    </w:lvl>
  </w:abstractNum>
  <w:abstractNum w:abstractNumId="2">
    <w:nsid w:val="26A64EB9"/>
    <w:multiLevelType w:val="multilevel"/>
    <w:tmpl w:val="26A64E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36A34518"/>
    <w:multiLevelType w:val="multilevel"/>
    <w:tmpl w:val="36A34518"/>
    <w:lvl w:ilvl="0" w:tentative="0">
      <w:start w:val="1"/>
      <w:numFmt w:val="decimal"/>
      <w:pStyle w:val="118"/>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26984"/>
    <w:rsid w:val="000472E8"/>
    <w:rsid w:val="00051FFB"/>
    <w:rsid w:val="00061D0F"/>
    <w:rsid w:val="00067DCD"/>
    <w:rsid w:val="00094F0A"/>
    <w:rsid w:val="000A6394"/>
    <w:rsid w:val="000C038A"/>
    <w:rsid w:val="000C6598"/>
    <w:rsid w:val="000D3C09"/>
    <w:rsid w:val="000D6382"/>
    <w:rsid w:val="000E1199"/>
    <w:rsid w:val="000E50B6"/>
    <w:rsid w:val="000F23FA"/>
    <w:rsid w:val="00112C4C"/>
    <w:rsid w:val="00145D43"/>
    <w:rsid w:val="00153181"/>
    <w:rsid w:val="001562B4"/>
    <w:rsid w:val="0016286B"/>
    <w:rsid w:val="001670C1"/>
    <w:rsid w:val="001763A1"/>
    <w:rsid w:val="00180C58"/>
    <w:rsid w:val="00191183"/>
    <w:rsid w:val="00192C46"/>
    <w:rsid w:val="001A7B60"/>
    <w:rsid w:val="001B6CDC"/>
    <w:rsid w:val="001B7A65"/>
    <w:rsid w:val="001C5027"/>
    <w:rsid w:val="001D2CB8"/>
    <w:rsid w:val="001E41F3"/>
    <w:rsid w:val="001E48D4"/>
    <w:rsid w:val="00207D0B"/>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58CE"/>
    <w:rsid w:val="002E595A"/>
    <w:rsid w:val="00305409"/>
    <w:rsid w:val="00317204"/>
    <w:rsid w:val="0032132C"/>
    <w:rsid w:val="00346833"/>
    <w:rsid w:val="0035319E"/>
    <w:rsid w:val="00353346"/>
    <w:rsid w:val="00357653"/>
    <w:rsid w:val="00376EE0"/>
    <w:rsid w:val="00384AE4"/>
    <w:rsid w:val="00386D07"/>
    <w:rsid w:val="00390818"/>
    <w:rsid w:val="00392B19"/>
    <w:rsid w:val="00396631"/>
    <w:rsid w:val="003A4E1D"/>
    <w:rsid w:val="003A5266"/>
    <w:rsid w:val="003B597F"/>
    <w:rsid w:val="003B7609"/>
    <w:rsid w:val="003C12C0"/>
    <w:rsid w:val="003D15E8"/>
    <w:rsid w:val="003E1A36"/>
    <w:rsid w:val="003E7DB4"/>
    <w:rsid w:val="003F54CE"/>
    <w:rsid w:val="0040623E"/>
    <w:rsid w:val="0041342D"/>
    <w:rsid w:val="004165D0"/>
    <w:rsid w:val="004242F1"/>
    <w:rsid w:val="00447131"/>
    <w:rsid w:val="00467657"/>
    <w:rsid w:val="00477480"/>
    <w:rsid w:val="00477891"/>
    <w:rsid w:val="004839DB"/>
    <w:rsid w:val="004865D4"/>
    <w:rsid w:val="004A1950"/>
    <w:rsid w:val="004A20E3"/>
    <w:rsid w:val="004B75B7"/>
    <w:rsid w:val="004F242B"/>
    <w:rsid w:val="00501813"/>
    <w:rsid w:val="00501900"/>
    <w:rsid w:val="005124D6"/>
    <w:rsid w:val="0051580D"/>
    <w:rsid w:val="00520062"/>
    <w:rsid w:val="00533072"/>
    <w:rsid w:val="00540E46"/>
    <w:rsid w:val="00546D8E"/>
    <w:rsid w:val="00564BDC"/>
    <w:rsid w:val="0056549A"/>
    <w:rsid w:val="00581960"/>
    <w:rsid w:val="00592D74"/>
    <w:rsid w:val="00592FB9"/>
    <w:rsid w:val="00596693"/>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338C"/>
    <w:rsid w:val="006370F5"/>
    <w:rsid w:val="00646C7D"/>
    <w:rsid w:val="006760A7"/>
    <w:rsid w:val="006804C7"/>
    <w:rsid w:val="00682FE6"/>
    <w:rsid w:val="006848B8"/>
    <w:rsid w:val="00695808"/>
    <w:rsid w:val="006A5614"/>
    <w:rsid w:val="006A7B12"/>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3E3"/>
    <w:rsid w:val="007E5FC8"/>
    <w:rsid w:val="00805D95"/>
    <w:rsid w:val="008227DB"/>
    <w:rsid w:val="008279FA"/>
    <w:rsid w:val="00845D17"/>
    <w:rsid w:val="008579E4"/>
    <w:rsid w:val="008626E7"/>
    <w:rsid w:val="00865BB7"/>
    <w:rsid w:val="00870EE7"/>
    <w:rsid w:val="008B1F20"/>
    <w:rsid w:val="008C4751"/>
    <w:rsid w:val="008C7641"/>
    <w:rsid w:val="008D7427"/>
    <w:rsid w:val="008F686C"/>
    <w:rsid w:val="009017EE"/>
    <w:rsid w:val="00913222"/>
    <w:rsid w:val="00913548"/>
    <w:rsid w:val="00916443"/>
    <w:rsid w:val="00917C9F"/>
    <w:rsid w:val="00936638"/>
    <w:rsid w:val="00951630"/>
    <w:rsid w:val="00955FBC"/>
    <w:rsid w:val="00972525"/>
    <w:rsid w:val="00973506"/>
    <w:rsid w:val="009759CB"/>
    <w:rsid w:val="009777D9"/>
    <w:rsid w:val="009824D9"/>
    <w:rsid w:val="009879B2"/>
    <w:rsid w:val="00990286"/>
    <w:rsid w:val="00991B88"/>
    <w:rsid w:val="00995252"/>
    <w:rsid w:val="00996397"/>
    <w:rsid w:val="009A1081"/>
    <w:rsid w:val="009A27EC"/>
    <w:rsid w:val="009A579D"/>
    <w:rsid w:val="009E0762"/>
    <w:rsid w:val="009E3297"/>
    <w:rsid w:val="009E3817"/>
    <w:rsid w:val="009F251D"/>
    <w:rsid w:val="009F274A"/>
    <w:rsid w:val="009F734F"/>
    <w:rsid w:val="00A04081"/>
    <w:rsid w:val="00A07158"/>
    <w:rsid w:val="00A134E6"/>
    <w:rsid w:val="00A20AB3"/>
    <w:rsid w:val="00A21256"/>
    <w:rsid w:val="00A246B6"/>
    <w:rsid w:val="00A3732B"/>
    <w:rsid w:val="00A47E70"/>
    <w:rsid w:val="00A53AEF"/>
    <w:rsid w:val="00A55471"/>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67B97"/>
    <w:rsid w:val="00B70BDD"/>
    <w:rsid w:val="00B76551"/>
    <w:rsid w:val="00B76C75"/>
    <w:rsid w:val="00B968C8"/>
    <w:rsid w:val="00BA3EC5"/>
    <w:rsid w:val="00BB5DFC"/>
    <w:rsid w:val="00BD279D"/>
    <w:rsid w:val="00BD6BB8"/>
    <w:rsid w:val="00BE3B42"/>
    <w:rsid w:val="00C12DBC"/>
    <w:rsid w:val="00C31B69"/>
    <w:rsid w:val="00C51E6C"/>
    <w:rsid w:val="00C5481B"/>
    <w:rsid w:val="00C573F0"/>
    <w:rsid w:val="00C74ED2"/>
    <w:rsid w:val="00C76DDA"/>
    <w:rsid w:val="00C945DB"/>
    <w:rsid w:val="00C95985"/>
    <w:rsid w:val="00C95B80"/>
    <w:rsid w:val="00CA426D"/>
    <w:rsid w:val="00CA6304"/>
    <w:rsid w:val="00CB512D"/>
    <w:rsid w:val="00CC5026"/>
    <w:rsid w:val="00CE5C0E"/>
    <w:rsid w:val="00D03F9A"/>
    <w:rsid w:val="00D104E0"/>
    <w:rsid w:val="00D157AF"/>
    <w:rsid w:val="00D202FA"/>
    <w:rsid w:val="00D3280E"/>
    <w:rsid w:val="00D338B8"/>
    <w:rsid w:val="00D35F6F"/>
    <w:rsid w:val="00D53FE3"/>
    <w:rsid w:val="00D608C3"/>
    <w:rsid w:val="00D61EF1"/>
    <w:rsid w:val="00D63018"/>
    <w:rsid w:val="00D93E84"/>
    <w:rsid w:val="00D95B9C"/>
    <w:rsid w:val="00D96016"/>
    <w:rsid w:val="00DB66FE"/>
    <w:rsid w:val="00DD5724"/>
    <w:rsid w:val="00DE34CF"/>
    <w:rsid w:val="00DE6E1D"/>
    <w:rsid w:val="00E02866"/>
    <w:rsid w:val="00E104A7"/>
    <w:rsid w:val="00E15BA1"/>
    <w:rsid w:val="00E27E18"/>
    <w:rsid w:val="00E35D11"/>
    <w:rsid w:val="00E6262A"/>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13AC6"/>
    <w:rsid w:val="00F2517E"/>
    <w:rsid w:val="00F25D98"/>
    <w:rsid w:val="00F300FB"/>
    <w:rsid w:val="00F3190B"/>
    <w:rsid w:val="00F61596"/>
    <w:rsid w:val="00F75006"/>
    <w:rsid w:val="00F77D84"/>
    <w:rsid w:val="00F9031B"/>
    <w:rsid w:val="00FA55A0"/>
    <w:rsid w:val="00FA6FED"/>
    <w:rsid w:val="00FB6386"/>
    <w:rsid w:val="00FB7DE3"/>
    <w:rsid w:val="00FC14BE"/>
    <w:rsid w:val="00FD42A9"/>
    <w:rsid w:val="00FE006E"/>
    <w:rsid w:val="00FE032C"/>
    <w:rsid w:val="00FE57B3"/>
    <w:rsid w:val="00FE6F64"/>
    <w:rsid w:val="01224509"/>
    <w:rsid w:val="052F0E5A"/>
    <w:rsid w:val="07DB5279"/>
    <w:rsid w:val="08007EB6"/>
    <w:rsid w:val="081B3025"/>
    <w:rsid w:val="09D424CA"/>
    <w:rsid w:val="09EA1A9F"/>
    <w:rsid w:val="0B261EB2"/>
    <w:rsid w:val="0C9868EF"/>
    <w:rsid w:val="0DB83665"/>
    <w:rsid w:val="11330BCB"/>
    <w:rsid w:val="11DB6617"/>
    <w:rsid w:val="11E925E4"/>
    <w:rsid w:val="131139A4"/>
    <w:rsid w:val="13A61087"/>
    <w:rsid w:val="174E19EB"/>
    <w:rsid w:val="17720712"/>
    <w:rsid w:val="18AD777E"/>
    <w:rsid w:val="1F375762"/>
    <w:rsid w:val="205448D8"/>
    <w:rsid w:val="21096916"/>
    <w:rsid w:val="23F52BD0"/>
    <w:rsid w:val="244C6252"/>
    <w:rsid w:val="245608AB"/>
    <w:rsid w:val="261231A8"/>
    <w:rsid w:val="26E456B3"/>
    <w:rsid w:val="27743BBB"/>
    <w:rsid w:val="2A886FD5"/>
    <w:rsid w:val="2AF43195"/>
    <w:rsid w:val="2B414275"/>
    <w:rsid w:val="2C1E3B34"/>
    <w:rsid w:val="2C9D4757"/>
    <w:rsid w:val="2E7D6C06"/>
    <w:rsid w:val="33F47082"/>
    <w:rsid w:val="34BA1B6F"/>
    <w:rsid w:val="364A3C96"/>
    <w:rsid w:val="36871184"/>
    <w:rsid w:val="39974488"/>
    <w:rsid w:val="3AE9558F"/>
    <w:rsid w:val="3B0A6541"/>
    <w:rsid w:val="3C421A98"/>
    <w:rsid w:val="3E7D653E"/>
    <w:rsid w:val="3E812F57"/>
    <w:rsid w:val="41ED37F4"/>
    <w:rsid w:val="42FD710E"/>
    <w:rsid w:val="4549452B"/>
    <w:rsid w:val="46A55B19"/>
    <w:rsid w:val="4BA41033"/>
    <w:rsid w:val="500E671D"/>
    <w:rsid w:val="50B67568"/>
    <w:rsid w:val="52047943"/>
    <w:rsid w:val="52E04D60"/>
    <w:rsid w:val="548169B5"/>
    <w:rsid w:val="550E3BF6"/>
    <w:rsid w:val="55291D9B"/>
    <w:rsid w:val="564155F6"/>
    <w:rsid w:val="56B92228"/>
    <w:rsid w:val="573458B2"/>
    <w:rsid w:val="57796A08"/>
    <w:rsid w:val="584F265E"/>
    <w:rsid w:val="59283141"/>
    <w:rsid w:val="5BFF3803"/>
    <w:rsid w:val="5CE50D98"/>
    <w:rsid w:val="5CF83814"/>
    <w:rsid w:val="5D717BCB"/>
    <w:rsid w:val="5DE05F90"/>
    <w:rsid w:val="5E2453E8"/>
    <w:rsid w:val="5E976882"/>
    <w:rsid w:val="5F2F43AA"/>
    <w:rsid w:val="600E3667"/>
    <w:rsid w:val="610C0886"/>
    <w:rsid w:val="615063E4"/>
    <w:rsid w:val="62382819"/>
    <w:rsid w:val="63D9290B"/>
    <w:rsid w:val="63E54FF8"/>
    <w:rsid w:val="64F35607"/>
    <w:rsid w:val="65497653"/>
    <w:rsid w:val="67077481"/>
    <w:rsid w:val="68CA3741"/>
    <w:rsid w:val="6F3A783F"/>
    <w:rsid w:val="71FE4D6E"/>
    <w:rsid w:val="749C42CE"/>
    <w:rsid w:val="75702F80"/>
    <w:rsid w:val="77465B39"/>
    <w:rsid w:val="79192792"/>
    <w:rsid w:val="79815BE3"/>
    <w:rsid w:val="7AA7128C"/>
    <w:rsid w:val="7B895380"/>
    <w:rsid w:val="7BF610B7"/>
    <w:rsid w:val="7C060344"/>
    <w:rsid w:val="7C971A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0"/>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1"/>
    <w:next w:val="1"/>
    <w:qFormat/>
    <w:uiPriority w:val="0"/>
    <w:pPr>
      <w:tabs>
        <w:tab w:val="clear" w:pos="1560"/>
      </w:tabs>
      <w:spacing w:before="180" w:after="0"/>
      <w:ind w:left="2693" w:hanging="2693"/>
    </w:pPr>
  </w:style>
  <w:style w:type="paragraph" w:styleId="33">
    <w:name w:val="Balloon Text"/>
    <w:basedOn w:val="1"/>
    <w:link w:val="51"/>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link w:val="88"/>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qFormat/>
    <w:uiPriority w:val="20"/>
    <w:rPr>
      <w:i/>
      <w:iCs/>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Revision"/>
    <w:hidden/>
    <w:semiHidden/>
    <w:qFormat/>
    <w:uiPriority w:val="99"/>
    <w:rPr>
      <w:rFonts w:ascii="Times New Roman" w:hAnsi="Times New Roman" w:cs="Times New Roman" w:eastAsiaTheme="minorEastAsia"/>
      <w:lang w:val="en-GB" w:eastAsia="en-US" w:bidi="ar-SA"/>
    </w:rPr>
  </w:style>
  <w:style w:type="character" w:customStyle="1" w:styleId="110">
    <w:name w:val="Mention"/>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5"/>
    <w:semiHidden/>
    <w:unhideWhenUsed/>
    <w:qFormat/>
    <w:uiPriority w:val="99"/>
    <w:rPr>
      <w:color w:val="605E5C"/>
      <w:shd w:val="clear" w:color="auto" w:fill="E1DFDD"/>
    </w:rPr>
  </w:style>
  <w:style w:type="paragraph" w:customStyle="1" w:styleId="118">
    <w:name w:val="Proposal"/>
    <w:basedOn w:val="1"/>
    <w:link w:val="119"/>
    <w:qFormat/>
    <w:uiPriority w:val="0"/>
    <w:pPr>
      <w:numPr>
        <w:ilvl w:val="0"/>
        <w:numId w:val="1"/>
      </w:numPr>
      <w:tabs>
        <w:tab w:val="left" w:pos="1560"/>
      </w:tabs>
      <w:ind w:left="1560" w:hanging="1200"/>
    </w:pPr>
    <w:rPr>
      <w:b/>
    </w:rPr>
  </w:style>
  <w:style w:type="character" w:customStyle="1" w:styleId="119">
    <w:name w:val="Proposal Char"/>
    <w:link w:val="118"/>
    <w:qFormat/>
    <w:uiPriority w:val="0"/>
    <w:rPr>
      <w:rFonts w:ascii="Times New Roman" w:hAnsi="Times New Roman"/>
      <w:b/>
      <w:lang w:eastAsia="en-US"/>
    </w:rPr>
  </w:style>
  <w:style w:type="character" w:customStyle="1" w:styleId="120">
    <w:name w:val="Proposal list Char"/>
    <w:basedOn w:val="45"/>
    <w:link w:val="22"/>
    <w:qFormat/>
    <w:uiPriority w:val="0"/>
    <w:rPr>
      <w:rFonts w:ascii="Times New Roman" w:hAnsi="Times New Roman"/>
      <w:b/>
      <w:lang w:eastAsia="en-US"/>
    </w:rPr>
  </w:style>
  <w:style w:type="paragraph" w:styleId="121">
    <w:name w:val="List Paragraph"/>
    <w:basedOn w:val="1"/>
    <w:qFormat/>
    <w:uiPriority w:val="34"/>
    <w:pPr>
      <w:ind w:firstLine="420" w:firstLineChars="200"/>
    </w:pPr>
  </w:style>
  <w:style w:type="character" w:customStyle="1" w:styleId="122">
    <w:name w:val="TAL Char1"/>
    <w:qFormat/>
    <w:uiPriority w:val="0"/>
    <w:rPr>
      <w:rFonts w:hint="default" w:ascii="Arial" w:hAnsi="Arial" w:cs="Arial"/>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CAD9C-797F-481E-941B-DA0AB24AF20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1118</Words>
  <Characters>6379</Characters>
  <Lines>53</Lines>
  <Paragraphs>14</Paragraphs>
  <TotalTime>2</TotalTime>
  <ScaleCrop>false</ScaleCrop>
  <LinksUpToDate>false</LinksUpToDate>
  <CharactersWithSpaces>7483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2024-08-08T07:49:00Z</dcterms:created>
  <dc:creator>Michael Sanders, John M Meredith</dc:creator>
  <cp:lastModifiedBy>ZTE-LYS</cp:lastModifiedBy>
  <cp:lastPrinted>2411-12-31T23:00:00Z</cp:lastPrinted>
  <dcterms:modified xsi:type="dcterms:W3CDTF">2024-08-14T01:45:52Z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(3)QwWTXx/PERtpX/d4/NEZOi9qFRgLMlJhhW6SHPW5uYdoulBj3Mfzby8+qp5pYUWGAgKtLcYt
/WG6seDgWiHr2gCaX+Vd99oEgKjj+pkIZf6/07iWSPEHwrDBOMwWKTMiQXNj8LAUITUwIh+O
sxD/duiAC8oo+TFkQACizDM/TaXlM83BHVJEifOnNlBmg420LUbO6bnpo7iEt5WKZTksTutU
v+w2pwO+Vz9F8CLxDj</vt:lpwstr>
  </property>
  <property fmtid="{D5CDD505-2E9C-101B-9397-08002B2CF9AE}" pid="4" name="_2015_ms_pID_7253431">
    <vt:lpwstr>r7ipQDdGGpMpTpA1iyXkxDP0jiwczfeOM/UwMVK99L/EmKu0fon6je
GZB4qNyJKI79XYgLuse1SZmLQI7+nF6eroXpM6IZ9dS0ybbh3KXf8mXlRZtSoyqL9EK46kMi
PtQW0t3k5hvP4wtpt0bPPdJmRXqeq8wEh3e5PyH7s3d+nVsshvoBQaLR6ymeC4j/q+gL5lMG
vyNRQLsU1UsG3/LzXXPaWBsSAblOkck/N+99</vt:lpwstr>
  </property>
  <property fmtid="{D5CDD505-2E9C-101B-9397-08002B2CF9AE}" pid="5" name="_2015_ms_pID_7253432">
    <vt:lpwstr>kW6h9Dcf57BZcDnf5USiwi0=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1717141830</vt:lpwstr>
  </property>
  <property fmtid="{D5CDD505-2E9C-101B-9397-08002B2CF9AE}" pid="10" name="KSOProductBuildVer">
    <vt:lpwstr>2052-11.8.2.10393</vt:lpwstr>
  </property>
</Properties>
</file>